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6CF4" w14:textId="02B16EF2" w:rsidR="00DA5B36" w:rsidRDefault="00DA5B36"/>
    <w:p w14:paraId="6E2BE5F7" w14:textId="10ABB1CE" w:rsidR="00DA5B36" w:rsidRPr="00DA5B36" w:rsidRDefault="00DA5B36">
      <w:pPr>
        <w:rPr>
          <w:rFonts w:ascii="Times New Roman" w:hAnsi="Times New Roman" w:cs="Times New Roman"/>
          <w:sz w:val="24"/>
          <w:szCs w:val="24"/>
        </w:rPr>
      </w:pPr>
      <w:r w:rsidRPr="00DA5B36">
        <w:rPr>
          <w:rFonts w:ascii="Times New Roman" w:hAnsi="Times New Roman" w:cs="Times New Roman"/>
          <w:sz w:val="24"/>
          <w:szCs w:val="24"/>
        </w:rPr>
        <w:t>THE ROLE OF PRE-NUPTIAL AGREEMENTS AND POST NUPTIAL AGREEMENTS IN FINANCIAL REMEDIES</w:t>
      </w:r>
      <w:r w:rsidR="008A77A0">
        <w:rPr>
          <w:rStyle w:val="FootnoteReference"/>
          <w:rFonts w:ascii="Times New Roman" w:hAnsi="Times New Roman" w:cs="Times New Roman"/>
          <w:sz w:val="24"/>
          <w:szCs w:val="24"/>
        </w:rPr>
        <w:footnoteReference w:id="1"/>
      </w:r>
    </w:p>
    <w:p w14:paraId="37444F52" w14:textId="470457CB" w:rsidR="00791131" w:rsidRDefault="00DA5B36" w:rsidP="00791131">
      <w:pPr>
        <w:jc w:val="center"/>
        <w:rPr>
          <w:rFonts w:ascii="Times New Roman" w:hAnsi="Times New Roman" w:cs="Times New Roman"/>
          <w:sz w:val="24"/>
          <w:szCs w:val="24"/>
        </w:rPr>
      </w:pPr>
      <w:r>
        <w:rPr>
          <w:rFonts w:ascii="Times New Roman" w:hAnsi="Times New Roman" w:cs="Times New Roman"/>
          <w:sz w:val="24"/>
          <w:szCs w:val="24"/>
        </w:rPr>
        <w:t>David Marusza</w:t>
      </w:r>
      <w:r w:rsidR="00791131">
        <w:rPr>
          <w:rFonts w:ascii="Times New Roman" w:hAnsi="Times New Roman" w:cs="Times New Roman"/>
          <w:sz w:val="24"/>
          <w:szCs w:val="24"/>
        </w:rPr>
        <w:t>, Barrister</w:t>
      </w:r>
    </w:p>
    <w:p w14:paraId="43A0447A" w14:textId="496A8C43" w:rsidR="00791131" w:rsidRDefault="00791131" w:rsidP="00791131">
      <w:pPr>
        <w:jc w:val="center"/>
        <w:rPr>
          <w:rFonts w:ascii="Times New Roman" w:hAnsi="Times New Roman" w:cs="Times New Roman"/>
          <w:sz w:val="24"/>
          <w:szCs w:val="24"/>
        </w:rPr>
      </w:pPr>
      <w:r>
        <w:rPr>
          <w:rFonts w:ascii="Times New Roman" w:hAnsi="Times New Roman" w:cs="Times New Roman"/>
          <w:sz w:val="24"/>
          <w:szCs w:val="24"/>
        </w:rPr>
        <w:t>Harcourt Chambers</w:t>
      </w:r>
    </w:p>
    <w:p w14:paraId="5008DCCB" w14:textId="77777777" w:rsidR="00DA5B36" w:rsidRPr="00DA5B36" w:rsidRDefault="00DA5B36" w:rsidP="00DA5B36">
      <w:pPr>
        <w:jc w:val="center"/>
        <w:rPr>
          <w:rFonts w:ascii="Times New Roman" w:hAnsi="Times New Roman" w:cs="Times New Roman"/>
          <w:sz w:val="24"/>
          <w:szCs w:val="24"/>
        </w:rPr>
      </w:pPr>
    </w:p>
    <w:p w14:paraId="17D7D0B7" w14:textId="4255DF20" w:rsidR="00DA5B36" w:rsidRDefault="00DA5B36" w:rsidP="00B25F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the landmark case of Radmacher v Granatino </w:t>
      </w:r>
      <w:r w:rsidRPr="00DA5B36">
        <w:rPr>
          <w:rFonts w:ascii="Times New Roman" w:hAnsi="Times New Roman" w:cs="Times New Roman"/>
          <w:i/>
          <w:iCs/>
          <w:sz w:val="24"/>
          <w:szCs w:val="24"/>
        </w:rPr>
        <w:t>[2010] UKSC 42; [2011] 1 AC 534</w:t>
      </w:r>
      <w:r>
        <w:rPr>
          <w:rFonts w:ascii="Times New Roman" w:hAnsi="Times New Roman" w:cs="Times New Roman"/>
          <w:sz w:val="24"/>
          <w:szCs w:val="24"/>
        </w:rPr>
        <w:t xml:space="preserve"> the Supreme Court established that nuptial agreements were</w:t>
      </w:r>
      <w:r w:rsidR="00791131">
        <w:rPr>
          <w:rFonts w:ascii="Times New Roman" w:hAnsi="Times New Roman" w:cs="Times New Roman"/>
          <w:sz w:val="24"/>
          <w:szCs w:val="24"/>
        </w:rPr>
        <w:t xml:space="preserve"> no longer</w:t>
      </w:r>
      <w:r>
        <w:rPr>
          <w:rFonts w:ascii="Times New Roman" w:hAnsi="Times New Roman" w:cs="Times New Roman"/>
          <w:sz w:val="24"/>
          <w:szCs w:val="24"/>
        </w:rPr>
        <w:t xml:space="preserve"> </w:t>
      </w:r>
      <w:r w:rsidR="00791131">
        <w:rPr>
          <w:rFonts w:ascii="Times New Roman" w:hAnsi="Times New Roman" w:cs="Times New Roman"/>
          <w:sz w:val="24"/>
          <w:szCs w:val="24"/>
        </w:rPr>
        <w:t>“</w:t>
      </w:r>
      <w:r>
        <w:rPr>
          <w:rFonts w:ascii="Times New Roman" w:hAnsi="Times New Roman" w:cs="Times New Roman"/>
          <w:sz w:val="24"/>
          <w:szCs w:val="24"/>
        </w:rPr>
        <w:t xml:space="preserve">contrary to public policy </w:t>
      </w:r>
      <w:r w:rsidR="00791131">
        <w:rPr>
          <w:rFonts w:ascii="Times New Roman" w:hAnsi="Times New Roman" w:cs="Times New Roman"/>
          <w:sz w:val="24"/>
          <w:szCs w:val="24"/>
        </w:rPr>
        <w:t>“</w:t>
      </w:r>
      <w:r>
        <w:rPr>
          <w:rFonts w:ascii="Times New Roman" w:hAnsi="Times New Roman" w:cs="Times New Roman"/>
          <w:sz w:val="24"/>
          <w:szCs w:val="24"/>
        </w:rPr>
        <w:t>and made clear that:</w:t>
      </w:r>
    </w:p>
    <w:p w14:paraId="4C4E47CF" w14:textId="77777777" w:rsidR="00DA5B36" w:rsidRDefault="00DA5B36" w:rsidP="00B25FBC">
      <w:pPr>
        <w:pStyle w:val="ListParagraph"/>
        <w:jc w:val="both"/>
        <w:rPr>
          <w:rFonts w:ascii="Times New Roman" w:hAnsi="Times New Roman" w:cs="Times New Roman"/>
          <w:sz w:val="24"/>
          <w:szCs w:val="24"/>
        </w:rPr>
      </w:pPr>
    </w:p>
    <w:p w14:paraId="2BFE7C07" w14:textId="22B3449F" w:rsidR="00DA5B36" w:rsidRPr="00791131" w:rsidRDefault="00DA5B36" w:rsidP="00B25FBC">
      <w:pPr>
        <w:pStyle w:val="ListParagraph"/>
        <w:jc w:val="both"/>
        <w:rPr>
          <w:rFonts w:ascii="Times New Roman" w:hAnsi="Times New Roman" w:cs="Times New Roman"/>
          <w:b/>
          <w:bCs/>
          <w:sz w:val="24"/>
          <w:szCs w:val="24"/>
        </w:rPr>
      </w:pPr>
      <w:r>
        <w:rPr>
          <w:rFonts w:ascii="Times New Roman" w:hAnsi="Times New Roman" w:cs="Times New Roman"/>
          <w:sz w:val="24"/>
          <w:szCs w:val="24"/>
        </w:rPr>
        <w:t>“</w:t>
      </w:r>
      <w:r w:rsidRPr="00791131">
        <w:rPr>
          <w:rFonts w:ascii="Times New Roman" w:hAnsi="Times New Roman" w:cs="Times New Roman"/>
          <w:i/>
          <w:iCs/>
          <w:sz w:val="24"/>
          <w:szCs w:val="24"/>
        </w:rPr>
        <w:t>The court should give effect to a nuptial agreement that was freely entered into by each party with a full appreciation of its implications unless in the circumstances prevailing it would be unfair to hold the parties to their agreement</w:t>
      </w:r>
      <w:r>
        <w:rPr>
          <w:rFonts w:ascii="Times New Roman" w:hAnsi="Times New Roman" w:cs="Times New Roman"/>
          <w:sz w:val="24"/>
          <w:szCs w:val="24"/>
        </w:rPr>
        <w:t xml:space="preserve">” </w:t>
      </w:r>
      <w:r w:rsidRPr="00791131">
        <w:rPr>
          <w:rFonts w:ascii="Times New Roman" w:hAnsi="Times New Roman" w:cs="Times New Roman"/>
          <w:b/>
          <w:bCs/>
          <w:sz w:val="24"/>
          <w:szCs w:val="24"/>
        </w:rPr>
        <w:t>[</w:t>
      </w:r>
      <w:r w:rsidR="00791131" w:rsidRPr="00791131">
        <w:rPr>
          <w:rFonts w:ascii="Times New Roman" w:hAnsi="Times New Roman" w:cs="Times New Roman"/>
          <w:b/>
          <w:bCs/>
          <w:sz w:val="24"/>
          <w:szCs w:val="24"/>
        </w:rPr>
        <w:t xml:space="preserve">paragraph </w:t>
      </w:r>
      <w:r w:rsidRPr="00791131">
        <w:rPr>
          <w:rFonts w:ascii="Times New Roman" w:hAnsi="Times New Roman" w:cs="Times New Roman"/>
          <w:b/>
          <w:bCs/>
          <w:sz w:val="24"/>
          <w:szCs w:val="24"/>
        </w:rPr>
        <w:t xml:space="preserve">75, </w:t>
      </w:r>
      <w:r w:rsidRPr="00791131">
        <w:rPr>
          <w:rFonts w:ascii="Times New Roman" w:hAnsi="Times New Roman" w:cs="Times New Roman"/>
          <w:b/>
          <w:bCs/>
          <w:i/>
          <w:iCs/>
          <w:sz w:val="24"/>
          <w:szCs w:val="24"/>
        </w:rPr>
        <w:t>Radmacher</w:t>
      </w:r>
      <w:r w:rsidRPr="00791131">
        <w:rPr>
          <w:rFonts w:ascii="Times New Roman" w:hAnsi="Times New Roman" w:cs="Times New Roman"/>
          <w:b/>
          <w:bCs/>
          <w:sz w:val="24"/>
          <w:szCs w:val="24"/>
        </w:rPr>
        <w:t>]</w:t>
      </w:r>
    </w:p>
    <w:p w14:paraId="3DF4C7D5" w14:textId="77777777" w:rsidR="00DA5B36" w:rsidRDefault="00DA5B36" w:rsidP="00B25FBC">
      <w:pPr>
        <w:pStyle w:val="ListParagraph"/>
        <w:jc w:val="both"/>
        <w:rPr>
          <w:rFonts w:ascii="Times New Roman" w:hAnsi="Times New Roman" w:cs="Times New Roman"/>
          <w:sz w:val="24"/>
          <w:szCs w:val="24"/>
        </w:rPr>
      </w:pPr>
    </w:p>
    <w:p w14:paraId="3ABCBA3A" w14:textId="6F485EC0" w:rsidR="008A77A0" w:rsidRPr="008A77A0" w:rsidRDefault="008A77A0" w:rsidP="00B25FBC">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sz w:val="24"/>
          <w:szCs w:val="24"/>
        </w:rPr>
        <w:t>In paragraph 1 of its judgment, the court explained that a nuptial agreement was either an “ante-nuptial agreement” (more commonly known as a pre-nuptial agreement or “prenup” for short, made before the marriage</w:t>
      </w:r>
      <w:r w:rsidR="00791131">
        <w:rPr>
          <w:rFonts w:ascii="Times New Roman" w:hAnsi="Times New Roman" w:cs="Times New Roman"/>
          <w:sz w:val="24"/>
          <w:szCs w:val="24"/>
        </w:rPr>
        <w:t xml:space="preserve">) </w:t>
      </w:r>
      <w:r>
        <w:rPr>
          <w:rFonts w:ascii="Times New Roman" w:hAnsi="Times New Roman" w:cs="Times New Roman"/>
          <w:sz w:val="24"/>
          <w:szCs w:val="24"/>
        </w:rPr>
        <w:t>or a “post nuptial agreement”, made after the marriage</w:t>
      </w:r>
      <w:r w:rsidR="00791131">
        <w:rPr>
          <w:rFonts w:ascii="Times New Roman" w:hAnsi="Times New Roman" w:cs="Times New Roman"/>
          <w:sz w:val="24"/>
          <w:szCs w:val="24"/>
        </w:rPr>
        <w:t>,</w:t>
      </w:r>
      <w:r>
        <w:rPr>
          <w:rFonts w:ascii="Times New Roman" w:hAnsi="Times New Roman" w:cs="Times New Roman"/>
          <w:sz w:val="24"/>
          <w:szCs w:val="24"/>
        </w:rPr>
        <w:t xml:space="preserve"> or indeed after separation. The Court decided that the distinction between pre- and post-nuptial agreements established in the decision of the Privy Council in </w:t>
      </w:r>
      <w:r w:rsidRPr="008A77A0">
        <w:rPr>
          <w:rFonts w:ascii="Times New Roman" w:hAnsi="Times New Roman" w:cs="Times New Roman"/>
          <w:i/>
          <w:iCs/>
          <w:sz w:val="24"/>
          <w:szCs w:val="24"/>
        </w:rPr>
        <w:t>MacLeod v MacLeod</w:t>
      </w:r>
      <w:r>
        <w:rPr>
          <w:rFonts w:ascii="Times New Roman" w:hAnsi="Times New Roman" w:cs="Times New Roman"/>
          <w:sz w:val="24"/>
          <w:szCs w:val="24"/>
        </w:rPr>
        <w:t xml:space="preserve"> (an appeal from the High Court of the Isle of Mann) was wrong, and that the Court should approach both types of agreement in exactly the same way. This article therefore considers both types of agreement under the heading</w:t>
      </w:r>
      <w:r w:rsidR="00791131">
        <w:rPr>
          <w:rFonts w:ascii="Times New Roman" w:hAnsi="Times New Roman" w:cs="Times New Roman"/>
          <w:sz w:val="24"/>
          <w:szCs w:val="24"/>
        </w:rPr>
        <w:t xml:space="preserve"> “</w:t>
      </w:r>
      <w:r>
        <w:rPr>
          <w:rFonts w:ascii="Times New Roman" w:hAnsi="Times New Roman" w:cs="Times New Roman"/>
          <w:sz w:val="24"/>
          <w:szCs w:val="24"/>
        </w:rPr>
        <w:t>agreement</w:t>
      </w:r>
      <w:r w:rsidR="00791131">
        <w:rPr>
          <w:rFonts w:ascii="Times New Roman" w:hAnsi="Times New Roman" w:cs="Times New Roman"/>
          <w:sz w:val="24"/>
          <w:szCs w:val="24"/>
        </w:rPr>
        <w:t xml:space="preserve">” </w:t>
      </w:r>
      <w:r>
        <w:rPr>
          <w:rFonts w:ascii="Times New Roman" w:hAnsi="Times New Roman" w:cs="Times New Roman"/>
          <w:sz w:val="24"/>
          <w:szCs w:val="24"/>
        </w:rPr>
        <w:t>as they are equally applicable in law.</w:t>
      </w:r>
    </w:p>
    <w:p w14:paraId="2A033B9F" w14:textId="77777777" w:rsidR="008A77A0" w:rsidRDefault="008A77A0" w:rsidP="00B25FBC">
      <w:pPr>
        <w:pStyle w:val="ListParagraph"/>
        <w:jc w:val="both"/>
        <w:rPr>
          <w:rFonts w:ascii="Times New Roman" w:hAnsi="Times New Roman" w:cs="Times New Roman"/>
          <w:sz w:val="24"/>
          <w:szCs w:val="24"/>
        </w:rPr>
      </w:pPr>
    </w:p>
    <w:p w14:paraId="6769CCAF" w14:textId="1980BC16" w:rsidR="00DA5B36" w:rsidRDefault="00DA5B36" w:rsidP="00B25F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such then, </w:t>
      </w:r>
      <w:r w:rsidR="008A77A0">
        <w:rPr>
          <w:rFonts w:ascii="Times New Roman" w:hAnsi="Times New Roman" w:cs="Times New Roman"/>
          <w:sz w:val="24"/>
          <w:szCs w:val="24"/>
        </w:rPr>
        <w:t>the Supreme Court decided that nuptial agreements should be given effect to, subject to the weight the Court accords to agreements</w:t>
      </w:r>
      <w:r w:rsidR="00791131">
        <w:rPr>
          <w:rFonts w:ascii="Times New Roman" w:hAnsi="Times New Roman" w:cs="Times New Roman"/>
          <w:sz w:val="24"/>
          <w:szCs w:val="24"/>
        </w:rPr>
        <w:t>,</w:t>
      </w:r>
      <w:r w:rsidR="008A77A0">
        <w:rPr>
          <w:rFonts w:ascii="Times New Roman" w:hAnsi="Times New Roman" w:cs="Times New Roman"/>
          <w:sz w:val="24"/>
          <w:szCs w:val="24"/>
        </w:rPr>
        <w:t xml:space="preserve"> and hence to what extent they should be given effect to.</w:t>
      </w:r>
    </w:p>
    <w:p w14:paraId="2A5B055C" w14:textId="77777777" w:rsidR="008A77A0" w:rsidRPr="008A77A0" w:rsidRDefault="008A77A0" w:rsidP="00B25FBC">
      <w:pPr>
        <w:pStyle w:val="ListParagraph"/>
        <w:jc w:val="both"/>
        <w:rPr>
          <w:rFonts w:ascii="Times New Roman" w:hAnsi="Times New Roman" w:cs="Times New Roman"/>
          <w:sz w:val="24"/>
          <w:szCs w:val="24"/>
        </w:rPr>
      </w:pPr>
    </w:p>
    <w:p w14:paraId="318A869D" w14:textId="3DB2120E" w:rsidR="008A77A0" w:rsidRDefault="008A77A0" w:rsidP="00B25F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Supreme Court set out that </w:t>
      </w:r>
      <w:r w:rsidR="00791131">
        <w:rPr>
          <w:rFonts w:ascii="Times New Roman" w:hAnsi="Times New Roman" w:cs="Times New Roman"/>
          <w:sz w:val="24"/>
          <w:szCs w:val="24"/>
        </w:rPr>
        <w:t>“</w:t>
      </w:r>
      <w:r>
        <w:rPr>
          <w:rFonts w:ascii="Times New Roman" w:hAnsi="Times New Roman" w:cs="Times New Roman"/>
          <w:sz w:val="24"/>
          <w:szCs w:val="24"/>
        </w:rPr>
        <w:t>the first question</w:t>
      </w:r>
      <w:r w:rsidR="00791131">
        <w:rPr>
          <w:rFonts w:ascii="Times New Roman" w:hAnsi="Times New Roman" w:cs="Times New Roman"/>
          <w:sz w:val="24"/>
          <w:szCs w:val="24"/>
        </w:rPr>
        <w:t>”</w:t>
      </w:r>
      <w:r>
        <w:rPr>
          <w:rFonts w:ascii="Times New Roman" w:hAnsi="Times New Roman" w:cs="Times New Roman"/>
          <w:sz w:val="24"/>
          <w:szCs w:val="24"/>
        </w:rPr>
        <w:t xml:space="preserve"> </w:t>
      </w:r>
      <w:r w:rsidRPr="00791131">
        <w:rPr>
          <w:rFonts w:ascii="Times New Roman" w:hAnsi="Times New Roman" w:cs="Times New Roman"/>
          <w:b/>
          <w:bCs/>
          <w:sz w:val="24"/>
          <w:szCs w:val="24"/>
        </w:rPr>
        <w:t>[71]</w:t>
      </w:r>
      <w:r>
        <w:rPr>
          <w:rFonts w:ascii="Times New Roman" w:hAnsi="Times New Roman" w:cs="Times New Roman"/>
          <w:sz w:val="24"/>
          <w:szCs w:val="24"/>
        </w:rPr>
        <w:t xml:space="preserve"> is whether the nuptial agreement could be negated entirely (</w:t>
      </w:r>
      <w:r w:rsidR="00791131">
        <w:rPr>
          <w:rFonts w:ascii="Times New Roman" w:hAnsi="Times New Roman" w:cs="Times New Roman"/>
          <w:sz w:val="24"/>
          <w:szCs w:val="24"/>
        </w:rPr>
        <w:t xml:space="preserve">i.e. </w:t>
      </w:r>
      <w:r>
        <w:rPr>
          <w:rFonts w:ascii="Times New Roman" w:hAnsi="Times New Roman" w:cs="Times New Roman"/>
          <w:sz w:val="24"/>
          <w:szCs w:val="24"/>
        </w:rPr>
        <w:t>not given effect to at all) due to standard vitiating factors: fraud, duress, misrepresentation</w:t>
      </w:r>
      <w:r w:rsidR="00791131">
        <w:rPr>
          <w:rFonts w:ascii="Times New Roman" w:hAnsi="Times New Roman" w:cs="Times New Roman"/>
          <w:sz w:val="24"/>
          <w:szCs w:val="24"/>
        </w:rPr>
        <w:t xml:space="preserve"> and so on</w:t>
      </w:r>
      <w:r>
        <w:rPr>
          <w:rFonts w:ascii="Times New Roman" w:hAnsi="Times New Roman" w:cs="Times New Roman"/>
          <w:sz w:val="24"/>
          <w:szCs w:val="24"/>
        </w:rPr>
        <w:t>. The Court also stated that undue pressure (falling short of duress) and “other unworthy conduct” might eliminate any weight being given by a Court to such an agreement.</w:t>
      </w:r>
      <w:r w:rsidR="00791131">
        <w:rPr>
          <w:rFonts w:ascii="Times New Roman" w:hAnsi="Times New Roman" w:cs="Times New Roman"/>
          <w:sz w:val="24"/>
          <w:szCs w:val="24"/>
        </w:rPr>
        <w:t xml:space="preserve"> Material non-disclosure could also be a potential vitiating factor.</w:t>
      </w:r>
    </w:p>
    <w:p w14:paraId="21896328" w14:textId="77777777" w:rsidR="008A77A0" w:rsidRPr="008A77A0" w:rsidRDefault="008A77A0" w:rsidP="00B25FBC">
      <w:pPr>
        <w:pStyle w:val="ListParagraph"/>
        <w:jc w:val="both"/>
        <w:rPr>
          <w:rFonts w:ascii="Times New Roman" w:hAnsi="Times New Roman" w:cs="Times New Roman"/>
          <w:sz w:val="24"/>
          <w:szCs w:val="24"/>
        </w:rPr>
      </w:pPr>
    </w:p>
    <w:p w14:paraId="080777BE" w14:textId="117963D6" w:rsidR="008A77A0" w:rsidRDefault="00791131" w:rsidP="00B25F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not vitiated, t</w:t>
      </w:r>
      <w:r w:rsidR="008A77A0">
        <w:rPr>
          <w:rFonts w:ascii="Times New Roman" w:hAnsi="Times New Roman" w:cs="Times New Roman"/>
          <w:sz w:val="24"/>
          <w:szCs w:val="24"/>
        </w:rPr>
        <w:t xml:space="preserve">he Court also set out factors at paragraphs </w:t>
      </w:r>
      <w:r w:rsidR="008A77A0" w:rsidRPr="00791131">
        <w:rPr>
          <w:rFonts w:ascii="Times New Roman" w:hAnsi="Times New Roman" w:cs="Times New Roman"/>
          <w:b/>
          <w:bCs/>
          <w:sz w:val="24"/>
          <w:szCs w:val="24"/>
        </w:rPr>
        <w:t>[74 to 83]</w:t>
      </w:r>
      <w:r w:rsidR="008A77A0">
        <w:rPr>
          <w:rFonts w:ascii="Times New Roman" w:hAnsi="Times New Roman" w:cs="Times New Roman"/>
          <w:sz w:val="24"/>
          <w:szCs w:val="24"/>
        </w:rPr>
        <w:t xml:space="preserve"> which would enhance or detract the </w:t>
      </w:r>
      <w:r w:rsidR="008A77A0" w:rsidRPr="00791131">
        <w:rPr>
          <w:rFonts w:ascii="Times New Roman" w:hAnsi="Times New Roman" w:cs="Times New Roman"/>
          <w:i/>
          <w:iCs/>
          <w:sz w:val="24"/>
          <w:szCs w:val="24"/>
        </w:rPr>
        <w:t>weight</w:t>
      </w:r>
      <w:r w:rsidR="008A77A0">
        <w:rPr>
          <w:rFonts w:ascii="Times New Roman" w:hAnsi="Times New Roman" w:cs="Times New Roman"/>
          <w:sz w:val="24"/>
          <w:szCs w:val="24"/>
        </w:rPr>
        <w:t xml:space="preserve"> to be given to an agreement  (and therefore the extent to which the Court would, in it’s discretion under s.25 of the Matrimonial Causes Act 1973</w:t>
      </w:r>
      <w:r w:rsidR="009E5437">
        <w:rPr>
          <w:rFonts w:ascii="Times New Roman" w:hAnsi="Times New Roman" w:cs="Times New Roman"/>
          <w:sz w:val="24"/>
          <w:szCs w:val="24"/>
        </w:rPr>
        <w:t>, apply it). Those factors are:</w:t>
      </w:r>
    </w:p>
    <w:p w14:paraId="1195BD31" w14:textId="77777777" w:rsidR="009E5437" w:rsidRPr="009E5437" w:rsidRDefault="009E5437" w:rsidP="00B25FBC">
      <w:pPr>
        <w:pStyle w:val="ListParagraph"/>
        <w:jc w:val="both"/>
        <w:rPr>
          <w:rFonts w:ascii="Times New Roman" w:hAnsi="Times New Roman" w:cs="Times New Roman"/>
          <w:sz w:val="24"/>
          <w:szCs w:val="24"/>
        </w:rPr>
      </w:pPr>
    </w:p>
    <w:p w14:paraId="38398450" w14:textId="432875AC" w:rsidR="009E5437" w:rsidRPr="00791131" w:rsidRDefault="009E5437" w:rsidP="00B25FBC">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Fairness </w:t>
      </w:r>
      <w:r w:rsidRPr="00791131">
        <w:rPr>
          <w:rFonts w:ascii="Times New Roman" w:hAnsi="Times New Roman" w:cs="Times New Roman"/>
          <w:b/>
          <w:bCs/>
          <w:sz w:val="24"/>
          <w:szCs w:val="24"/>
        </w:rPr>
        <w:t>[75]</w:t>
      </w:r>
    </w:p>
    <w:p w14:paraId="554DA78F" w14:textId="074D0406" w:rsidR="009E5437" w:rsidRPr="00791131" w:rsidRDefault="009E5437" w:rsidP="00B25FBC">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t xml:space="preserve">Whether the agreement “prejudices the reasonable requirements of any children of the family” – most commonly this will relate to whether the child’s need for housing with both parents, income needs, and educational needs are met. </w:t>
      </w:r>
      <w:r w:rsidRPr="00791131">
        <w:rPr>
          <w:rFonts w:ascii="Times New Roman" w:hAnsi="Times New Roman" w:cs="Times New Roman"/>
          <w:b/>
          <w:bCs/>
          <w:sz w:val="24"/>
          <w:szCs w:val="24"/>
        </w:rPr>
        <w:t>[77]</w:t>
      </w:r>
    </w:p>
    <w:p w14:paraId="2D1C9FD1" w14:textId="37CFFE84" w:rsidR="009E5437" w:rsidRDefault="009E5437" w:rsidP="00B25FB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Respect for the autonomy of the parties </w:t>
      </w:r>
      <w:r w:rsidRPr="00791131">
        <w:rPr>
          <w:rFonts w:ascii="Times New Roman" w:hAnsi="Times New Roman" w:cs="Times New Roman"/>
          <w:b/>
          <w:bCs/>
          <w:sz w:val="24"/>
          <w:szCs w:val="24"/>
        </w:rPr>
        <w:t>[78]</w:t>
      </w:r>
    </w:p>
    <w:p w14:paraId="2EA6A09A" w14:textId="5EF58CFC" w:rsidR="009E5437" w:rsidRPr="00791131" w:rsidRDefault="009E5437" w:rsidP="00B25FBC">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t xml:space="preserve">Reflection of the non-matrimonial source of property </w:t>
      </w:r>
      <w:r w:rsidRPr="00791131">
        <w:rPr>
          <w:rFonts w:ascii="Times New Roman" w:hAnsi="Times New Roman" w:cs="Times New Roman"/>
          <w:b/>
          <w:bCs/>
          <w:sz w:val="24"/>
          <w:szCs w:val="24"/>
        </w:rPr>
        <w:t>[79]</w:t>
      </w:r>
    </w:p>
    <w:p w14:paraId="4BB713D8" w14:textId="1EC5F0F2" w:rsidR="009E5437" w:rsidRDefault="009E5437" w:rsidP="00B25FB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Whether </w:t>
      </w:r>
      <w:r w:rsidR="00791131">
        <w:rPr>
          <w:rFonts w:ascii="Times New Roman" w:hAnsi="Times New Roman" w:cs="Times New Roman"/>
          <w:sz w:val="24"/>
          <w:szCs w:val="24"/>
        </w:rPr>
        <w:t xml:space="preserve">or not </w:t>
      </w:r>
      <w:r>
        <w:rPr>
          <w:rFonts w:ascii="Times New Roman" w:hAnsi="Times New Roman" w:cs="Times New Roman"/>
          <w:sz w:val="24"/>
          <w:szCs w:val="24"/>
        </w:rPr>
        <w:t xml:space="preserve">future circumstances have been catered for </w:t>
      </w:r>
      <w:r w:rsidR="00791131">
        <w:rPr>
          <w:rFonts w:ascii="Times New Roman" w:hAnsi="Times New Roman" w:cs="Times New Roman"/>
          <w:sz w:val="24"/>
          <w:szCs w:val="24"/>
        </w:rPr>
        <w:t>within</w:t>
      </w:r>
      <w:r>
        <w:rPr>
          <w:rFonts w:ascii="Times New Roman" w:hAnsi="Times New Roman" w:cs="Times New Roman"/>
          <w:sz w:val="24"/>
          <w:szCs w:val="24"/>
        </w:rPr>
        <w:t xml:space="preserve"> the agreement</w:t>
      </w:r>
      <w:r w:rsidR="00791131">
        <w:rPr>
          <w:rFonts w:ascii="Times New Roman" w:hAnsi="Times New Roman" w:cs="Times New Roman"/>
          <w:sz w:val="24"/>
          <w:szCs w:val="24"/>
        </w:rPr>
        <w:t>, e.g.,</w:t>
      </w:r>
      <w:r>
        <w:rPr>
          <w:rFonts w:ascii="Times New Roman" w:hAnsi="Times New Roman" w:cs="Times New Roman"/>
          <w:sz w:val="24"/>
          <w:szCs w:val="24"/>
        </w:rPr>
        <w:t xml:space="preserve"> </w:t>
      </w:r>
      <w:r w:rsidR="00791131">
        <w:rPr>
          <w:rFonts w:ascii="Times New Roman" w:hAnsi="Times New Roman" w:cs="Times New Roman"/>
          <w:sz w:val="24"/>
          <w:szCs w:val="24"/>
        </w:rPr>
        <w:t>w</w:t>
      </w:r>
      <w:r>
        <w:rPr>
          <w:rFonts w:ascii="Times New Roman" w:hAnsi="Times New Roman" w:cs="Times New Roman"/>
          <w:sz w:val="24"/>
          <w:szCs w:val="24"/>
        </w:rPr>
        <w:t xml:space="preserve">hether any unexpected events (such as a party to the agreement becoming disabled) have happened since the agreement was concluded </w:t>
      </w:r>
      <w:r w:rsidRPr="00791131">
        <w:rPr>
          <w:rFonts w:ascii="Times New Roman" w:hAnsi="Times New Roman" w:cs="Times New Roman"/>
          <w:b/>
          <w:bCs/>
          <w:sz w:val="24"/>
          <w:szCs w:val="24"/>
        </w:rPr>
        <w:t>[80]</w:t>
      </w:r>
      <w:r>
        <w:rPr>
          <w:rFonts w:ascii="Times New Roman" w:hAnsi="Times New Roman" w:cs="Times New Roman"/>
          <w:sz w:val="24"/>
          <w:szCs w:val="24"/>
        </w:rPr>
        <w:t>. A sub-factor of this issue is whether either party has been left “</w:t>
      </w:r>
      <w:r w:rsidRPr="00791131">
        <w:rPr>
          <w:rFonts w:ascii="Times New Roman" w:hAnsi="Times New Roman" w:cs="Times New Roman"/>
          <w:b/>
          <w:bCs/>
          <w:sz w:val="24"/>
          <w:szCs w:val="24"/>
        </w:rPr>
        <w:t>in a predicament of real need</w:t>
      </w:r>
      <w:r>
        <w:rPr>
          <w:rFonts w:ascii="Times New Roman" w:hAnsi="Times New Roman" w:cs="Times New Roman"/>
          <w:sz w:val="24"/>
          <w:szCs w:val="24"/>
        </w:rPr>
        <w:t>” while “</w:t>
      </w:r>
      <w:r w:rsidRPr="00791131">
        <w:rPr>
          <w:rFonts w:ascii="Times New Roman" w:hAnsi="Times New Roman" w:cs="Times New Roman"/>
          <w:i/>
          <w:iCs/>
          <w:sz w:val="24"/>
          <w:szCs w:val="24"/>
        </w:rPr>
        <w:t>the other enjoys a sufficiency or more</w:t>
      </w:r>
      <w:r>
        <w:rPr>
          <w:rFonts w:ascii="Times New Roman" w:hAnsi="Times New Roman" w:cs="Times New Roman"/>
          <w:sz w:val="24"/>
          <w:szCs w:val="24"/>
        </w:rPr>
        <w:t xml:space="preserve">” </w:t>
      </w:r>
      <w:r w:rsidRPr="00791131">
        <w:rPr>
          <w:rFonts w:ascii="Times New Roman" w:hAnsi="Times New Roman" w:cs="Times New Roman"/>
          <w:b/>
          <w:bCs/>
          <w:sz w:val="24"/>
          <w:szCs w:val="24"/>
        </w:rPr>
        <w:t>[81].</w:t>
      </w:r>
      <w:r>
        <w:rPr>
          <w:rFonts w:ascii="Times New Roman" w:hAnsi="Times New Roman" w:cs="Times New Roman"/>
          <w:sz w:val="24"/>
          <w:szCs w:val="24"/>
        </w:rPr>
        <w:t xml:space="preserve"> The Court indicated the latter situation would be likely to render it unfair “in the circumstances prevailing, to hold the parties to the agreement”.</w:t>
      </w:r>
    </w:p>
    <w:p w14:paraId="33AD251A" w14:textId="68504DE1" w:rsidR="009E5437" w:rsidRDefault="009E5437" w:rsidP="00B25FB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The Court also observed at  </w:t>
      </w:r>
      <w:r w:rsidRPr="00791131">
        <w:rPr>
          <w:rFonts w:ascii="Times New Roman" w:hAnsi="Times New Roman" w:cs="Times New Roman"/>
          <w:b/>
          <w:bCs/>
          <w:sz w:val="24"/>
          <w:szCs w:val="24"/>
        </w:rPr>
        <w:t>[114]</w:t>
      </w:r>
      <w:r>
        <w:rPr>
          <w:rFonts w:ascii="Times New Roman" w:hAnsi="Times New Roman" w:cs="Times New Roman"/>
          <w:sz w:val="24"/>
          <w:szCs w:val="24"/>
        </w:rPr>
        <w:t xml:space="preserve"> </w:t>
      </w:r>
      <w:r w:rsidR="00791131">
        <w:rPr>
          <w:rFonts w:ascii="Times New Roman" w:hAnsi="Times New Roman" w:cs="Times New Roman"/>
          <w:sz w:val="24"/>
          <w:szCs w:val="24"/>
        </w:rPr>
        <w:t xml:space="preserve">that </w:t>
      </w:r>
      <w:r>
        <w:rPr>
          <w:rFonts w:ascii="Times New Roman" w:hAnsi="Times New Roman" w:cs="Times New Roman"/>
          <w:sz w:val="24"/>
          <w:szCs w:val="24"/>
        </w:rPr>
        <w:t>independent legal advice was not necessarily a reason why an agreement would not be given effect to</w:t>
      </w:r>
      <w:r w:rsidR="00817274">
        <w:rPr>
          <w:rFonts w:ascii="Times New Roman" w:hAnsi="Times New Roman" w:cs="Times New Roman"/>
          <w:sz w:val="24"/>
          <w:szCs w:val="24"/>
        </w:rPr>
        <w:t xml:space="preserve"> </w:t>
      </w:r>
      <w:r w:rsidR="00817274" w:rsidRPr="00791131">
        <w:rPr>
          <w:rFonts w:ascii="Times New Roman" w:hAnsi="Times New Roman" w:cs="Times New Roman"/>
          <w:b/>
          <w:bCs/>
          <w:sz w:val="24"/>
          <w:szCs w:val="24"/>
        </w:rPr>
        <w:t>[69],</w:t>
      </w:r>
      <w:r w:rsidR="00817274">
        <w:rPr>
          <w:rFonts w:ascii="Times New Roman" w:hAnsi="Times New Roman" w:cs="Times New Roman"/>
          <w:sz w:val="24"/>
          <w:szCs w:val="24"/>
        </w:rPr>
        <w:t xml:space="preserve"> although it was “desirable”  and “would ensure that a party understands the implications of the agreement”</w:t>
      </w:r>
      <w:r>
        <w:rPr>
          <w:rFonts w:ascii="Times New Roman" w:hAnsi="Times New Roman" w:cs="Times New Roman"/>
          <w:sz w:val="24"/>
          <w:szCs w:val="24"/>
        </w:rPr>
        <w:t xml:space="preserve">, and indeed the agreement was given effect to in </w:t>
      </w:r>
      <w:r w:rsidRPr="009E5437">
        <w:rPr>
          <w:rFonts w:ascii="Times New Roman" w:hAnsi="Times New Roman" w:cs="Times New Roman"/>
          <w:i/>
          <w:iCs/>
          <w:sz w:val="24"/>
          <w:szCs w:val="24"/>
        </w:rPr>
        <w:t>Radmacher.</w:t>
      </w:r>
      <w:r>
        <w:rPr>
          <w:rFonts w:ascii="Times New Roman" w:hAnsi="Times New Roman" w:cs="Times New Roman"/>
          <w:sz w:val="24"/>
          <w:szCs w:val="24"/>
        </w:rPr>
        <w:t xml:space="preserve"> Subsequent case law has not spoken with one voice as to the necessity of independent legal advice</w:t>
      </w:r>
      <w:r w:rsidR="00817274">
        <w:rPr>
          <w:rFonts w:ascii="Times New Roman" w:hAnsi="Times New Roman" w:cs="Times New Roman"/>
          <w:sz w:val="24"/>
          <w:szCs w:val="24"/>
        </w:rPr>
        <w:t>, and the likelihood is the impact of this issue will vary from case to case, it is suggested.</w:t>
      </w:r>
      <w:r w:rsidR="00791131">
        <w:rPr>
          <w:rFonts w:ascii="Times New Roman" w:hAnsi="Times New Roman" w:cs="Times New Roman"/>
          <w:sz w:val="24"/>
          <w:szCs w:val="24"/>
        </w:rPr>
        <w:t xml:space="preserve"> It will depend on the facts of the case.</w:t>
      </w:r>
    </w:p>
    <w:p w14:paraId="0B0B3851" w14:textId="77777777" w:rsidR="00791131" w:rsidRDefault="00791131" w:rsidP="00791131">
      <w:pPr>
        <w:pStyle w:val="ListParagraph"/>
        <w:ind w:left="1440"/>
        <w:jc w:val="both"/>
        <w:rPr>
          <w:rFonts w:ascii="Times New Roman" w:hAnsi="Times New Roman" w:cs="Times New Roman"/>
          <w:sz w:val="24"/>
          <w:szCs w:val="24"/>
        </w:rPr>
      </w:pPr>
    </w:p>
    <w:p w14:paraId="1E919D66" w14:textId="77777777" w:rsidR="009E5437" w:rsidRPr="009E5437" w:rsidRDefault="009E5437" w:rsidP="00B25FBC">
      <w:pPr>
        <w:pStyle w:val="ListParagraph"/>
        <w:jc w:val="both"/>
        <w:rPr>
          <w:rFonts w:ascii="Times New Roman" w:hAnsi="Times New Roman" w:cs="Times New Roman"/>
          <w:sz w:val="24"/>
          <w:szCs w:val="24"/>
        </w:rPr>
      </w:pPr>
    </w:p>
    <w:p w14:paraId="5DC1A897" w14:textId="673C0955" w:rsidR="009E5437" w:rsidRDefault="009E5437" w:rsidP="00B25FBC">
      <w:pPr>
        <w:pStyle w:val="ListParagraph"/>
        <w:numPr>
          <w:ilvl w:val="0"/>
          <w:numId w:val="1"/>
        </w:numPr>
        <w:jc w:val="both"/>
        <w:rPr>
          <w:rFonts w:ascii="Times New Roman" w:hAnsi="Times New Roman" w:cs="Times New Roman"/>
          <w:sz w:val="24"/>
          <w:szCs w:val="24"/>
        </w:rPr>
      </w:pPr>
      <w:r w:rsidRPr="00791131">
        <w:rPr>
          <w:rFonts w:ascii="Times New Roman" w:hAnsi="Times New Roman" w:cs="Times New Roman"/>
          <w:sz w:val="24"/>
          <w:szCs w:val="24"/>
        </w:rPr>
        <w:t xml:space="preserve">In the view of the writer of this article, bespoke and specialist legal advice in terms of whether the agreement </w:t>
      </w:r>
      <w:r w:rsidR="00791131" w:rsidRPr="00791131">
        <w:rPr>
          <w:rFonts w:ascii="Times New Roman" w:hAnsi="Times New Roman" w:cs="Times New Roman"/>
          <w:sz w:val="24"/>
          <w:szCs w:val="24"/>
        </w:rPr>
        <w:t>has been</w:t>
      </w:r>
      <w:r w:rsidRPr="00791131">
        <w:rPr>
          <w:rFonts w:ascii="Times New Roman" w:hAnsi="Times New Roman" w:cs="Times New Roman"/>
          <w:sz w:val="24"/>
          <w:szCs w:val="24"/>
        </w:rPr>
        <w:t xml:space="preserve"> vitiated or </w:t>
      </w:r>
      <w:r w:rsidR="00791131" w:rsidRPr="00791131">
        <w:rPr>
          <w:rFonts w:ascii="Times New Roman" w:hAnsi="Times New Roman" w:cs="Times New Roman"/>
          <w:sz w:val="24"/>
          <w:szCs w:val="24"/>
        </w:rPr>
        <w:t xml:space="preserve">whether </w:t>
      </w:r>
      <w:r w:rsidRPr="00791131">
        <w:rPr>
          <w:rFonts w:ascii="Times New Roman" w:hAnsi="Times New Roman" w:cs="Times New Roman"/>
          <w:sz w:val="24"/>
          <w:szCs w:val="24"/>
        </w:rPr>
        <w:t>the weight may be reduced on the above bases is essential in every case</w:t>
      </w:r>
      <w:r w:rsidR="00791131">
        <w:rPr>
          <w:rFonts w:ascii="Times New Roman" w:hAnsi="Times New Roman" w:cs="Times New Roman"/>
          <w:sz w:val="24"/>
          <w:szCs w:val="24"/>
        </w:rPr>
        <w:t xml:space="preserve"> at an early stage, ideally before the issue of proceedings.</w:t>
      </w:r>
    </w:p>
    <w:p w14:paraId="58A24674" w14:textId="77777777" w:rsidR="00791131" w:rsidRPr="00791131" w:rsidRDefault="00791131" w:rsidP="00791131">
      <w:pPr>
        <w:pStyle w:val="ListParagraph"/>
        <w:jc w:val="both"/>
        <w:rPr>
          <w:rFonts w:ascii="Times New Roman" w:hAnsi="Times New Roman" w:cs="Times New Roman"/>
          <w:sz w:val="24"/>
          <w:szCs w:val="24"/>
        </w:rPr>
      </w:pPr>
    </w:p>
    <w:p w14:paraId="60694827" w14:textId="49B37DC6" w:rsidR="009E5437" w:rsidRDefault="009E5437" w:rsidP="00B25F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summarise broadly, the Court will </w:t>
      </w:r>
      <w:r w:rsidR="00817274">
        <w:rPr>
          <w:rFonts w:ascii="Times New Roman" w:hAnsi="Times New Roman" w:cs="Times New Roman"/>
          <w:sz w:val="24"/>
          <w:szCs w:val="24"/>
        </w:rPr>
        <w:t xml:space="preserve">give effect to an agreement which the parties entered into, fully understanding its implications, as long as in the circumstances the Court thinks it would not be fair to do so, bearing in mind whether the agreement is vitiated by fraud, duress or </w:t>
      </w:r>
      <w:r w:rsidR="00E94E17">
        <w:rPr>
          <w:rFonts w:ascii="Times New Roman" w:hAnsi="Times New Roman" w:cs="Times New Roman"/>
          <w:sz w:val="24"/>
          <w:szCs w:val="24"/>
        </w:rPr>
        <w:t>misrepresentation</w:t>
      </w:r>
      <w:r w:rsidR="00817274">
        <w:rPr>
          <w:rFonts w:ascii="Times New Roman" w:hAnsi="Times New Roman" w:cs="Times New Roman"/>
          <w:sz w:val="24"/>
          <w:szCs w:val="24"/>
        </w:rPr>
        <w:t xml:space="preserve"> (in which case it will not be given effect to), and subject to </w:t>
      </w:r>
      <w:r w:rsidR="00791131">
        <w:rPr>
          <w:rFonts w:ascii="Times New Roman" w:hAnsi="Times New Roman" w:cs="Times New Roman"/>
          <w:sz w:val="24"/>
          <w:szCs w:val="24"/>
        </w:rPr>
        <w:t xml:space="preserve">the factors relevant to the </w:t>
      </w:r>
      <w:r w:rsidR="00817274">
        <w:rPr>
          <w:rFonts w:ascii="Times New Roman" w:hAnsi="Times New Roman" w:cs="Times New Roman"/>
          <w:sz w:val="24"/>
          <w:szCs w:val="24"/>
        </w:rPr>
        <w:t>weight</w:t>
      </w:r>
      <w:r w:rsidR="00791131">
        <w:rPr>
          <w:rFonts w:ascii="Times New Roman" w:hAnsi="Times New Roman" w:cs="Times New Roman"/>
          <w:sz w:val="24"/>
          <w:szCs w:val="24"/>
        </w:rPr>
        <w:t xml:space="preserve"> to be accorded to the agreement in question</w:t>
      </w:r>
      <w:r w:rsidR="00817274">
        <w:rPr>
          <w:rFonts w:ascii="Times New Roman" w:hAnsi="Times New Roman" w:cs="Times New Roman"/>
          <w:sz w:val="24"/>
          <w:szCs w:val="24"/>
        </w:rPr>
        <w:t>.</w:t>
      </w:r>
    </w:p>
    <w:p w14:paraId="24DDD2D2" w14:textId="77777777" w:rsidR="00817274" w:rsidRPr="00817274" w:rsidRDefault="00817274" w:rsidP="00B25FBC">
      <w:pPr>
        <w:pStyle w:val="ListParagraph"/>
        <w:jc w:val="both"/>
        <w:rPr>
          <w:rFonts w:ascii="Times New Roman" w:hAnsi="Times New Roman" w:cs="Times New Roman"/>
          <w:sz w:val="24"/>
          <w:szCs w:val="24"/>
        </w:rPr>
      </w:pPr>
    </w:p>
    <w:p w14:paraId="2243FA16" w14:textId="478323DF" w:rsidR="00817274" w:rsidRPr="00817274" w:rsidRDefault="00791131" w:rsidP="00B25FBC">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sz w:val="24"/>
          <w:szCs w:val="24"/>
        </w:rPr>
        <w:t>Properly drafted nuptial agreements</w:t>
      </w:r>
      <w:r w:rsidR="00817274">
        <w:rPr>
          <w:rFonts w:ascii="Times New Roman" w:hAnsi="Times New Roman" w:cs="Times New Roman"/>
          <w:sz w:val="24"/>
          <w:szCs w:val="24"/>
        </w:rPr>
        <w:t xml:space="preserve"> </w:t>
      </w:r>
      <w:r>
        <w:rPr>
          <w:rFonts w:ascii="Times New Roman" w:hAnsi="Times New Roman" w:cs="Times New Roman"/>
          <w:sz w:val="24"/>
          <w:szCs w:val="24"/>
        </w:rPr>
        <w:t xml:space="preserve">have in numerous cases </w:t>
      </w:r>
      <w:r w:rsidR="00817274">
        <w:rPr>
          <w:rFonts w:ascii="Times New Roman" w:hAnsi="Times New Roman" w:cs="Times New Roman"/>
          <w:sz w:val="24"/>
          <w:szCs w:val="24"/>
        </w:rPr>
        <w:t xml:space="preserve">been successful in reducing the award given to a party to the marriage. The starting point in English law </w:t>
      </w:r>
      <w:r>
        <w:rPr>
          <w:rFonts w:ascii="Times New Roman" w:hAnsi="Times New Roman" w:cs="Times New Roman"/>
          <w:sz w:val="24"/>
          <w:szCs w:val="24"/>
        </w:rPr>
        <w:t xml:space="preserve">absent such an agreement is that the Court seeks to make an award which is “fair” which is treated as </w:t>
      </w:r>
      <w:r w:rsidR="00817274">
        <w:rPr>
          <w:rFonts w:ascii="Times New Roman" w:hAnsi="Times New Roman" w:cs="Times New Roman"/>
          <w:sz w:val="24"/>
          <w:szCs w:val="24"/>
        </w:rPr>
        <w:t>synonymous with equality,</w:t>
      </w:r>
      <w:r>
        <w:rPr>
          <w:rFonts w:ascii="Times New Roman" w:hAnsi="Times New Roman" w:cs="Times New Roman"/>
          <w:sz w:val="24"/>
          <w:szCs w:val="24"/>
        </w:rPr>
        <w:t xml:space="preserve"> subject to a</w:t>
      </w:r>
      <w:r w:rsidR="00817274">
        <w:rPr>
          <w:rFonts w:ascii="Times New Roman" w:hAnsi="Times New Roman" w:cs="Times New Roman"/>
          <w:sz w:val="24"/>
          <w:szCs w:val="24"/>
        </w:rPr>
        <w:t xml:space="preserve"> departure from</w:t>
      </w:r>
      <w:r>
        <w:rPr>
          <w:rFonts w:ascii="Times New Roman" w:hAnsi="Times New Roman" w:cs="Times New Roman"/>
          <w:sz w:val="24"/>
          <w:szCs w:val="24"/>
        </w:rPr>
        <w:t xml:space="preserve"> equality</w:t>
      </w:r>
      <w:r w:rsidR="00817274">
        <w:rPr>
          <w:rFonts w:ascii="Times New Roman" w:hAnsi="Times New Roman" w:cs="Times New Roman"/>
          <w:sz w:val="24"/>
          <w:szCs w:val="24"/>
        </w:rPr>
        <w:t xml:space="preserve"> which is </w:t>
      </w:r>
      <w:r>
        <w:rPr>
          <w:rFonts w:ascii="Times New Roman" w:hAnsi="Times New Roman" w:cs="Times New Roman"/>
          <w:sz w:val="24"/>
          <w:szCs w:val="24"/>
        </w:rPr>
        <w:t xml:space="preserve">to be </w:t>
      </w:r>
      <w:r w:rsidR="00817274">
        <w:rPr>
          <w:rFonts w:ascii="Times New Roman" w:hAnsi="Times New Roman" w:cs="Times New Roman"/>
          <w:sz w:val="24"/>
          <w:szCs w:val="24"/>
        </w:rPr>
        <w:t xml:space="preserve">made </w:t>
      </w:r>
      <w:r>
        <w:rPr>
          <w:rFonts w:ascii="Times New Roman" w:hAnsi="Times New Roman" w:cs="Times New Roman"/>
          <w:sz w:val="24"/>
          <w:szCs w:val="24"/>
        </w:rPr>
        <w:t>if there is</w:t>
      </w:r>
      <w:r w:rsidR="00817274">
        <w:rPr>
          <w:rFonts w:ascii="Times New Roman" w:hAnsi="Times New Roman" w:cs="Times New Roman"/>
          <w:sz w:val="24"/>
          <w:szCs w:val="24"/>
        </w:rPr>
        <w:t xml:space="preserve"> “good reason”</w:t>
      </w:r>
      <w:r>
        <w:rPr>
          <w:rFonts w:ascii="Times New Roman" w:hAnsi="Times New Roman" w:cs="Times New Roman"/>
          <w:sz w:val="24"/>
          <w:szCs w:val="24"/>
        </w:rPr>
        <w:t xml:space="preserve">, </w:t>
      </w:r>
      <w:r w:rsidR="00817274">
        <w:rPr>
          <w:rFonts w:ascii="Times New Roman" w:hAnsi="Times New Roman" w:cs="Times New Roman"/>
          <w:sz w:val="24"/>
          <w:szCs w:val="24"/>
        </w:rPr>
        <w:t xml:space="preserve">often financial needs such as lack of income/earning capacity and to meet housing needs. Awards are commonly </w:t>
      </w:r>
      <w:r>
        <w:rPr>
          <w:rFonts w:ascii="Times New Roman" w:hAnsi="Times New Roman" w:cs="Times New Roman"/>
          <w:sz w:val="24"/>
          <w:szCs w:val="24"/>
        </w:rPr>
        <w:t xml:space="preserve">made </w:t>
      </w:r>
      <w:r w:rsidR="00817274">
        <w:rPr>
          <w:rFonts w:ascii="Times New Roman" w:hAnsi="Times New Roman" w:cs="Times New Roman"/>
          <w:sz w:val="24"/>
          <w:szCs w:val="24"/>
        </w:rPr>
        <w:t>not far from equality of assets</w:t>
      </w:r>
      <w:r>
        <w:rPr>
          <w:rFonts w:ascii="Times New Roman" w:hAnsi="Times New Roman" w:cs="Times New Roman"/>
          <w:sz w:val="24"/>
          <w:szCs w:val="24"/>
        </w:rPr>
        <w:t xml:space="preserve"> and</w:t>
      </w:r>
      <w:r w:rsidR="00E94E17">
        <w:rPr>
          <w:rFonts w:ascii="Times New Roman" w:hAnsi="Times New Roman" w:cs="Times New Roman"/>
          <w:sz w:val="24"/>
          <w:szCs w:val="24"/>
        </w:rPr>
        <w:t xml:space="preserve"> (in general)</w:t>
      </w:r>
      <w:r>
        <w:rPr>
          <w:rFonts w:ascii="Times New Roman" w:hAnsi="Times New Roman" w:cs="Times New Roman"/>
          <w:sz w:val="24"/>
          <w:szCs w:val="24"/>
        </w:rPr>
        <w:t xml:space="preserve"> within the range of 66</w:t>
      </w:r>
      <w:r w:rsidR="00E94E17">
        <w:rPr>
          <w:rFonts w:ascii="Times New Roman" w:hAnsi="Times New Roman" w:cs="Times New Roman"/>
          <w:sz w:val="24"/>
          <w:szCs w:val="24"/>
        </w:rPr>
        <w:t>.6</w:t>
      </w:r>
      <w:r>
        <w:rPr>
          <w:rFonts w:ascii="Times New Roman" w:hAnsi="Times New Roman" w:cs="Times New Roman"/>
          <w:sz w:val="24"/>
          <w:szCs w:val="24"/>
        </w:rPr>
        <w:t>% to 33.3%</w:t>
      </w:r>
    </w:p>
    <w:p w14:paraId="684E4090" w14:textId="77777777" w:rsidR="00817274" w:rsidRPr="00817274" w:rsidRDefault="00817274" w:rsidP="00B25FBC">
      <w:pPr>
        <w:pStyle w:val="ListParagraph"/>
        <w:jc w:val="both"/>
        <w:rPr>
          <w:rFonts w:ascii="Times New Roman" w:hAnsi="Times New Roman" w:cs="Times New Roman"/>
          <w:i/>
          <w:iCs/>
          <w:sz w:val="24"/>
          <w:szCs w:val="24"/>
        </w:rPr>
      </w:pPr>
    </w:p>
    <w:p w14:paraId="746F2E40" w14:textId="6BBC4251" w:rsidR="00817274" w:rsidRPr="00113A83" w:rsidRDefault="00817274" w:rsidP="00B25FBC">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sz w:val="24"/>
          <w:szCs w:val="24"/>
        </w:rPr>
        <w:t xml:space="preserve">However, in </w:t>
      </w:r>
      <w:r w:rsidR="00E94E17">
        <w:rPr>
          <w:rFonts w:ascii="Times New Roman" w:hAnsi="Times New Roman" w:cs="Times New Roman"/>
          <w:sz w:val="24"/>
          <w:szCs w:val="24"/>
        </w:rPr>
        <w:t xml:space="preserve">several </w:t>
      </w:r>
      <w:r>
        <w:rPr>
          <w:rFonts w:ascii="Times New Roman" w:hAnsi="Times New Roman" w:cs="Times New Roman"/>
          <w:sz w:val="24"/>
          <w:szCs w:val="24"/>
        </w:rPr>
        <w:t xml:space="preserve">cases in which a prenuptial agreement has been carefully </w:t>
      </w:r>
      <w:r w:rsidR="00E94E17">
        <w:rPr>
          <w:rFonts w:ascii="Times New Roman" w:hAnsi="Times New Roman" w:cs="Times New Roman"/>
          <w:sz w:val="24"/>
          <w:szCs w:val="24"/>
        </w:rPr>
        <w:t>consider</w:t>
      </w:r>
      <w:r>
        <w:rPr>
          <w:rFonts w:ascii="Times New Roman" w:hAnsi="Times New Roman" w:cs="Times New Roman"/>
          <w:sz w:val="24"/>
          <w:szCs w:val="24"/>
        </w:rPr>
        <w:t xml:space="preserve"> and drafted by </w:t>
      </w:r>
      <w:r w:rsidR="00E94E17">
        <w:rPr>
          <w:rFonts w:ascii="Times New Roman" w:hAnsi="Times New Roman" w:cs="Times New Roman"/>
          <w:sz w:val="24"/>
          <w:szCs w:val="24"/>
        </w:rPr>
        <w:t>skilled legal</w:t>
      </w:r>
      <w:r>
        <w:rPr>
          <w:rFonts w:ascii="Times New Roman" w:hAnsi="Times New Roman" w:cs="Times New Roman"/>
          <w:sz w:val="24"/>
          <w:szCs w:val="24"/>
        </w:rPr>
        <w:t xml:space="preserve"> advisors, such awards have been made at far lower levels. By way of</w:t>
      </w:r>
      <w:r w:rsidR="00113A83">
        <w:rPr>
          <w:rFonts w:ascii="Times New Roman" w:hAnsi="Times New Roman" w:cs="Times New Roman"/>
          <w:sz w:val="24"/>
          <w:szCs w:val="24"/>
        </w:rPr>
        <w:t xml:space="preserve"> a few</w:t>
      </w:r>
      <w:r>
        <w:rPr>
          <w:rFonts w:ascii="Times New Roman" w:hAnsi="Times New Roman" w:cs="Times New Roman"/>
          <w:sz w:val="24"/>
          <w:szCs w:val="24"/>
        </w:rPr>
        <w:t xml:space="preserve"> examples:</w:t>
      </w:r>
    </w:p>
    <w:p w14:paraId="1B591FB6" w14:textId="77777777" w:rsidR="00113A83" w:rsidRPr="00113A83" w:rsidRDefault="00113A83" w:rsidP="00B25FBC">
      <w:pPr>
        <w:pStyle w:val="ListParagraph"/>
        <w:jc w:val="both"/>
        <w:rPr>
          <w:rFonts w:ascii="Times New Roman" w:hAnsi="Times New Roman" w:cs="Times New Roman"/>
          <w:i/>
          <w:iCs/>
          <w:sz w:val="24"/>
          <w:szCs w:val="24"/>
        </w:rPr>
      </w:pPr>
    </w:p>
    <w:p w14:paraId="15528F88" w14:textId="562E289F" w:rsidR="00113A83" w:rsidRPr="00573F29" w:rsidRDefault="00113A83" w:rsidP="00B25FBC">
      <w:pPr>
        <w:pStyle w:val="ListParagraph"/>
        <w:numPr>
          <w:ilvl w:val="0"/>
          <w:numId w:val="2"/>
        </w:numPr>
        <w:jc w:val="both"/>
        <w:rPr>
          <w:rFonts w:ascii="Times New Roman" w:hAnsi="Times New Roman" w:cs="Times New Roman"/>
          <w:i/>
          <w:iCs/>
          <w:sz w:val="24"/>
          <w:szCs w:val="24"/>
        </w:rPr>
      </w:pPr>
      <w:r w:rsidRPr="00573F29">
        <w:rPr>
          <w:rFonts w:ascii="Times New Roman" w:hAnsi="Times New Roman" w:cs="Times New Roman"/>
          <w:i/>
          <w:iCs/>
          <w:sz w:val="24"/>
          <w:szCs w:val="24"/>
        </w:rPr>
        <w:t>Luckwell v Limata [2014] 2 FLR 168</w:t>
      </w:r>
      <w:r>
        <w:rPr>
          <w:rFonts w:ascii="Times New Roman" w:hAnsi="Times New Roman" w:cs="Times New Roman"/>
          <w:sz w:val="24"/>
          <w:szCs w:val="24"/>
        </w:rPr>
        <w:t>, per Holman J. The parties were</w:t>
      </w:r>
      <w:r w:rsidR="00E94E17">
        <w:rPr>
          <w:rFonts w:ascii="Times New Roman" w:hAnsi="Times New Roman" w:cs="Times New Roman"/>
          <w:sz w:val="24"/>
          <w:szCs w:val="24"/>
        </w:rPr>
        <w:t xml:space="preserve"> aged</w:t>
      </w:r>
      <w:r>
        <w:rPr>
          <w:rFonts w:ascii="Times New Roman" w:hAnsi="Times New Roman" w:cs="Times New Roman"/>
          <w:sz w:val="24"/>
          <w:szCs w:val="24"/>
        </w:rPr>
        <w:t xml:space="preserve"> 37 </w:t>
      </w:r>
      <w:r w:rsidR="00E94E17">
        <w:rPr>
          <w:rFonts w:ascii="Times New Roman" w:hAnsi="Times New Roman" w:cs="Times New Roman"/>
          <w:sz w:val="24"/>
          <w:szCs w:val="24"/>
        </w:rPr>
        <w:t>(W)</w:t>
      </w:r>
      <w:r>
        <w:rPr>
          <w:rFonts w:ascii="Times New Roman" w:hAnsi="Times New Roman" w:cs="Times New Roman"/>
          <w:sz w:val="24"/>
          <w:szCs w:val="24"/>
        </w:rPr>
        <w:t>and 45</w:t>
      </w:r>
      <w:r w:rsidR="00E94E17">
        <w:rPr>
          <w:rFonts w:ascii="Times New Roman" w:hAnsi="Times New Roman" w:cs="Times New Roman"/>
          <w:sz w:val="24"/>
          <w:szCs w:val="24"/>
        </w:rPr>
        <w:t xml:space="preserve"> (H)</w:t>
      </w:r>
      <w:r>
        <w:rPr>
          <w:rFonts w:ascii="Times New Roman" w:hAnsi="Times New Roman" w:cs="Times New Roman"/>
          <w:sz w:val="24"/>
          <w:szCs w:val="24"/>
        </w:rPr>
        <w:t xml:space="preserve">. </w:t>
      </w:r>
      <w:r w:rsidR="00E94E17">
        <w:rPr>
          <w:rFonts w:ascii="Times New Roman" w:hAnsi="Times New Roman" w:cs="Times New Roman"/>
          <w:sz w:val="24"/>
          <w:szCs w:val="24"/>
        </w:rPr>
        <w:t xml:space="preserve">W came from a wealthy family. </w:t>
      </w:r>
      <w:r>
        <w:rPr>
          <w:rFonts w:ascii="Times New Roman" w:hAnsi="Times New Roman" w:cs="Times New Roman"/>
          <w:sz w:val="24"/>
          <w:szCs w:val="24"/>
        </w:rPr>
        <w:t xml:space="preserve">The assets in the parties direct ownership were </w:t>
      </w:r>
      <w:r w:rsidR="00573F29">
        <w:rPr>
          <w:rFonts w:ascii="Times New Roman" w:hAnsi="Times New Roman" w:cs="Times New Roman"/>
          <w:sz w:val="24"/>
          <w:szCs w:val="24"/>
        </w:rPr>
        <w:t xml:space="preserve">approximately £7m in the hands of the wife. The Court awarded the husband £900,000 to purchase a home for himself and the children, </w:t>
      </w:r>
      <w:r w:rsidR="00E94E17">
        <w:rPr>
          <w:rFonts w:ascii="Times New Roman" w:hAnsi="Times New Roman" w:cs="Times New Roman"/>
          <w:sz w:val="24"/>
          <w:szCs w:val="24"/>
        </w:rPr>
        <w:t xml:space="preserve">such property </w:t>
      </w:r>
      <w:r w:rsidR="00573F29">
        <w:rPr>
          <w:rFonts w:ascii="Times New Roman" w:hAnsi="Times New Roman" w:cs="Times New Roman"/>
          <w:sz w:val="24"/>
          <w:szCs w:val="24"/>
        </w:rPr>
        <w:t>to revert to the wife on the children attaining the age of 21 and a lump sum of £282,000 to buy a car, pay off debts and for other</w:t>
      </w:r>
      <w:r w:rsidR="00E94E17">
        <w:rPr>
          <w:rFonts w:ascii="Times New Roman" w:hAnsi="Times New Roman" w:cs="Times New Roman"/>
          <w:sz w:val="24"/>
          <w:szCs w:val="24"/>
        </w:rPr>
        <w:t xml:space="preserve"> financial</w:t>
      </w:r>
      <w:r w:rsidR="00573F29">
        <w:rPr>
          <w:rFonts w:ascii="Times New Roman" w:hAnsi="Times New Roman" w:cs="Times New Roman"/>
          <w:sz w:val="24"/>
          <w:szCs w:val="24"/>
        </w:rPr>
        <w:t xml:space="preserve"> needs. Overall</w:t>
      </w:r>
      <w:r w:rsidR="00E94E17">
        <w:rPr>
          <w:rFonts w:ascii="Times New Roman" w:hAnsi="Times New Roman" w:cs="Times New Roman"/>
          <w:sz w:val="24"/>
          <w:szCs w:val="24"/>
        </w:rPr>
        <w:t>,</w:t>
      </w:r>
      <w:r w:rsidR="00573F29">
        <w:rPr>
          <w:rFonts w:ascii="Times New Roman" w:hAnsi="Times New Roman" w:cs="Times New Roman"/>
          <w:sz w:val="24"/>
          <w:szCs w:val="24"/>
        </w:rPr>
        <w:t xml:space="preserve"> this</w:t>
      </w:r>
      <w:r w:rsidR="00E94E17">
        <w:rPr>
          <w:rFonts w:ascii="Times New Roman" w:hAnsi="Times New Roman" w:cs="Times New Roman"/>
          <w:sz w:val="24"/>
          <w:szCs w:val="24"/>
        </w:rPr>
        <w:t xml:space="preserve"> award</w:t>
      </w:r>
      <w:r w:rsidR="00573F29">
        <w:rPr>
          <w:rFonts w:ascii="Times New Roman" w:hAnsi="Times New Roman" w:cs="Times New Roman"/>
          <w:sz w:val="24"/>
          <w:szCs w:val="24"/>
        </w:rPr>
        <w:t xml:space="preserve"> amounted to a mere 17% of the assets, reducing to less than one percent on the £900,000 reverting to the wife.</w:t>
      </w:r>
    </w:p>
    <w:p w14:paraId="45250413" w14:textId="34954AEF" w:rsidR="00573F29" w:rsidRPr="00573F29" w:rsidRDefault="00573F29" w:rsidP="00B25FBC">
      <w:pPr>
        <w:pStyle w:val="ListParagraph"/>
        <w:numPr>
          <w:ilvl w:val="0"/>
          <w:numId w:val="2"/>
        </w:numPr>
        <w:jc w:val="both"/>
        <w:rPr>
          <w:rFonts w:ascii="Times New Roman" w:hAnsi="Times New Roman" w:cs="Times New Roman"/>
          <w:i/>
          <w:iCs/>
          <w:sz w:val="24"/>
          <w:szCs w:val="24"/>
        </w:rPr>
      </w:pPr>
      <w:r>
        <w:rPr>
          <w:rFonts w:ascii="Times New Roman" w:hAnsi="Times New Roman" w:cs="Times New Roman"/>
          <w:i/>
          <w:iCs/>
          <w:sz w:val="24"/>
          <w:szCs w:val="24"/>
        </w:rPr>
        <w:t xml:space="preserve">KA v MA [2018] 2 FLR 1785, </w:t>
      </w:r>
      <w:r>
        <w:rPr>
          <w:rFonts w:ascii="Times New Roman" w:hAnsi="Times New Roman" w:cs="Times New Roman"/>
          <w:sz w:val="24"/>
          <w:szCs w:val="24"/>
        </w:rPr>
        <w:t xml:space="preserve">per </w:t>
      </w:r>
      <w:r w:rsidR="00E94E17">
        <w:rPr>
          <w:rFonts w:ascii="Times New Roman" w:hAnsi="Times New Roman" w:cs="Times New Roman"/>
          <w:sz w:val="24"/>
          <w:szCs w:val="24"/>
        </w:rPr>
        <w:t>Roberts</w:t>
      </w:r>
      <w:r>
        <w:rPr>
          <w:rFonts w:ascii="Times New Roman" w:hAnsi="Times New Roman" w:cs="Times New Roman"/>
          <w:sz w:val="24"/>
          <w:szCs w:val="24"/>
        </w:rPr>
        <w:t xml:space="preserve"> J, in which, after the application of a valid prenup, the award to the wife was £2.95m for a house and capitalised income requirements  out of</w:t>
      </w:r>
      <w:r w:rsidR="00E94E17">
        <w:rPr>
          <w:rFonts w:ascii="Times New Roman" w:hAnsi="Times New Roman" w:cs="Times New Roman"/>
          <w:sz w:val="24"/>
          <w:szCs w:val="24"/>
        </w:rPr>
        <w:t xml:space="preserve"> total</w:t>
      </w:r>
      <w:r>
        <w:rPr>
          <w:rFonts w:ascii="Times New Roman" w:hAnsi="Times New Roman" w:cs="Times New Roman"/>
          <w:sz w:val="24"/>
          <w:szCs w:val="24"/>
        </w:rPr>
        <w:t xml:space="preserve"> assets of c. £32 million, or a mere 9%</w:t>
      </w:r>
      <w:r w:rsidR="00E94E17">
        <w:rPr>
          <w:rFonts w:ascii="Times New Roman" w:hAnsi="Times New Roman" w:cs="Times New Roman"/>
          <w:sz w:val="24"/>
          <w:szCs w:val="24"/>
        </w:rPr>
        <w:t xml:space="preserve"> of the total assets</w:t>
      </w:r>
      <w:r>
        <w:rPr>
          <w:rFonts w:ascii="Times New Roman" w:hAnsi="Times New Roman" w:cs="Times New Roman"/>
          <w:sz w:val="24"/>
          <w:szCs w:val="24"/>
        </w:rPr>
        <w:t>.</w:t>
      </w:r>
    </w:p>
    <w:p w14:paraId="3B390DE8" w14:textId="7D1FBC8B" w:rsidR="00573F29" w:rsidRPr="00817274" w:rsidRDefault="00573F29" w:rsidP="00B25FBC">
      <w:pPr>
        <w:pStyle w:val="ListParagraph"/>
        <w:numPr>
          <w:ilvl w:val="0"/>
          <w:numId w:val="2"/>
        </w:numPr>
        <w:jc w:val="both"/>
        <w:rPr>
          <w:rFonts w:ascii="Times New Roman" w:hAnsi="Times New Roman" w:cs="Times New Roman"/>
          <w:i/>
          <w:iCs/>
          <w:sz w:val="24"/>
          <w:szCs w:val="24"/>
        </w:rPr>
      </w:pPr>
      <w:r>
        <w:rPr>
          <w:rFonts w:ascii="Times New Roman" w:hAnsi="Times New Roman" w:cs="Times New Roman"/>
          <w:sz w:val="24"/>
          <w:szCs w:val="24"/>
        </w:rPr>
        <w:t xml:space="preserve">In the recent case of </w:t>
      </w:r>
      <w:r w:rsidRPr="00E94E17">
        <w:rPr>
          <w:rFonts w:ascii="Times New Roman" w:hAnsi="Times New Roman" w:cs="Times New Roman"/>
          <w:i/>
          <w:iCs/>
          <w:sz w:val="24"/>
          <w:szCs w:val="24"/>
        </w:rPr>
        <w:t>AH v BH [2024] EWFC 125</w:t>
      </w:r>
      <w:r>
        <w:rPr>
          <w:rFonts w:ascii="Times New Roman" w:hAnsi="Times New Roman" w:cs="Times New Roman"/>
          <w:sz w:val="24"/>
          <w:szCs w:val="24"/>
        </w:rPr>
        <w:t xml:space="preserve">, </w:t>
      </w:r>
      <w:r w:rsidR="00E94E17">
        <w:rPr>
          <w:rFonts w:ascii="Times New Roman" w:hAnsi="Times New Roman" w:cs="Times New Roman"/>
          <w:sz w:val="24"/>
          <w:szCs w:val="24"/>
        </w:rPr>
        <w:t>which involved assets</w:t>
      </w:r>
      <w:r>
        <w:rPr>
          <w:rFonts w:ascii="Times New Roman" w:hAnsi="Times New Roman" w:cs="Times New Roman"/>
          <w:sz w:val="24"/>
          <w:szCs w:val="24"/>
        </w:rPr>
        <w:t xml:space="preserve"> of £52 m</w:t>
      </w:r>
      <w:r w:rsidR="00E94E17">
        <w:rPr>
          <w:rFonts w:ascii="Times New Roman" w:hAnsi="Times New Roman" w:cs="Times New Roman"/>
          <w:sz w:val="24"/>
          <w:szCs w:val="24"/>
        </w:rPr>
        <w:t>illion</w:t>
      </w:r>
      <w:r>
        <w:rPr>
          <w:rFonts w:ascii="Times New Roman" w:hAnsi="Times New Roman" w:cs="Times New Roman"/>
          <w:sz w:val="24"/>
          <w:szCs w:val="24"/>
        </w:rPr>
        <w:t xml:space="preserve"> in assets in the husband’s name, Peel J applied a valid prenup seeking to preserve the husband’s separate  property. The eventual award to</w:t>
      </w:r>
      <w:r w:rsidR="00E94E17">
        <w:rPr>
          <w:rFonts w:ascii="Times New Roman" w:hAnsi="Times New Roman" w:cs="Times New Roman"/>
          <w:sz w:val="24"/>
          <w:szCs w:val="24"/>
        </w:rPr>
        <w:t xml:space="preserve"> wife</w:t>
      </w:r>
      <w:r>
        <w:rPr>
          <w:rFonts w:ascii="Times New Roman" w:hAnsi="Times New Roman" w:cs="Times New Roman"/>
          <w:sz w:val="24"/>
          <w:szCs w:val="24"/>
        </w:rPr>
        <w:t xml:space="preserve"> the was just over £4m or 8%</w:t>
      </w:r>
      <w:r w:rsidR="00E94E17">
        <w:rPr>
          <w:rFonts w:ascii="Times New Roman" w:hAnsi="Times New Roman" w:cs="Times New Roman"/>
          <w:sz w:val="24"/>
          <w:szCs w:val="24"/>
        </w:rPr>
        <w:t xml:space="preserve"> of the total assets</w:t>
      </w:r>
      <w:r>
        <w:rPr>
          <w:rFonts w:ascii="Times New Roman" w:hAnsi="Times New Roman" w:cs="Times New Roman"/>
          <w:sz w:val="24"/>
          <w:szCs w:val="24"/>
        </w:rPr>
        <w:t>. The judge specifically commented that “</w:t>
      </w:r>
      <w:r w:rsidRPr="00E94E17">
        <w:rPr>
          <w:rFonts w:ascii="Times New Roman" w:hAnsi="Times New Roman" w:cs="Times New Roman"/>
          <w:i/>
          <w:iCs/>
          <w:sz w:val="24"/>
          <w:szCs w:val="24"/>
        </w:rPr>
        <w:t>Had the parties not signed the PMA</w:t>
      </w:r>
      <w:r w:rsidRPr="00E94E17">
        <w:rPr>
          <w:rStyle w:val="FootnoteReference"/>
          <w:rFonts w:ascii="Times New Roman" w:hAnsi="Times New Roman" w:cs="Times New Roman"/>
          <w:i/>
          <w:iCs/>
          <w:sz w:val="24"/>
          <w:szCs w:val="24"/>
        </w:rPr>
        <w:footnoteReference w:id="2"/>
      </w:r>
      <w:r w:rsidRPr="00E94E17">
        <w:rPr>
          <w:rFonts w:ascii="Times New Roman" w:hAnsi="Times New Roman" w:cs="Times New Roman"/>
          <w:i/>
          <w:iCs/>
          <w:sz w:val="24"/>
          <w:szCs w:val="24"/>
        </w:rPr>
        <w:t>, W might have been entitled to received on a sharing basis as much as £7.5m, and possibly more. Even on a needs basis, I consider that, absent the PMA, her award would have been greater than I have provided for; retention of the FMH and  a longer Duxbury term (perhaps even a whole life term) would have been arguable</w:t>
      </w:r>
      <w:r>
        <w:rPr>
          <w:rFonts w:ascii="Times New Roman" w:hAnsi="Times New Roman" w:cs="Times New Roman"/>
          <w:sz w:val="24"/>
          <w:szCs w:val="24"/>
        </w:rPr>
        <w:t>.</w:t>
      </w:r>
      <w:r w:rsidR="00E94E17">
        <w:rPr>
          <w:rFonts w:ascii="Times New Roman" w:hAnsi="Times New Roman" w:cs="Times New Roman"/>
          <w:sz w:val="24"/>
          <w:szCs w:val="24"/>
        </w:rPr>
        <w:t>”</w:t>
      </w:r>
      <w:r>
        <w:rPr>
          <w:rFonts w:ascii="Times New Roman" w:hAnsi="Times New Roman" w:cs="Times New Roman"/>
          <w:sz w:val="24"/>
          <w:szCs w:val="24"/>
        </w:rPr>
        <w:t xml:space="preserve"> [86].</w:t>
      </w:r>
    </w:p>
    <w:p w14:paraId="705AD8B3" w14:textId="77777777" w:rsidR="00817274" w:rsidRPr="00817274" w:rsidRDefault="00817274" w:rsidP="00B25FBC">
      <w:pPr>
        <w:pStyle w:val="ListParagraph"/>
        <w:jc w:val="both"/>
        <w:rPr>
          <w:rFonts w:ascii="Times New Roman" w:hAnsi="Times New Roman" w:cs="Times New Roman"/>
          <w:i/>
          <w:iCs/>
          <w:sz w:val="24"/>
          <w:szCs w:val="24"/>
        </w:rPr>
      </w:pPr>
    </w:p>
    <w:p w14:paraId="3DA4A500" w14:textId="77777777" w:rsidR="00817274" w:rsidRPr="00817274" w:rsidRDefault="00817274" w:rsidP="00B25FBC">
      <w:pPr>
        <w:pStyle w:val="ListParagraph"/>
        <w:jc w:val="both"/>
        <w:rPr>
          <w:rFonts w:ascii="Times New Roman" w:hAnsi="Times New Roman" w:cs="Times New Roman"/>
          <w:i/>
          <w:iCs/>
          <w:sz w:val="24"/>
          <w:szCs w:val="24"/>
        </w:rPr>
      </w:pPr>
    </w:p>
    <w:p w14:paraId="46C4A2AE" w14:textId="5432F3B2" w:rsidR="00E94E17" w:rsidRPr="00E94E17" w:rsidRDefault="00573F29" w:rsidP="00E94E17">
      <w:pPr>
        <w:pStyle w:val="ListParagraph"/>
        <w:numPr>
          <w:ilvl w:val="0"/>
          <w:numId w:val="1"/>
        </w:numPr>
        <w:jc w:val="both"/>
        <w:rPr>
          <w:rFonts w:ascii="Times New Roman" w:hAnsi="Times New Roman" w:cs="Times New Roman"/>
          <w:i/>
          <w:iCs/>
          <w:sz w:val="24"/>
          <w:szCs w:val="24"/>
        </w:rPr>
      </w:pPr>
      <w:r w:rsidRPr="00E94E17">
        <w:rPr>
          <w:rFonts w:ascii="Times New Roman" w:hAnsi="Times New Roman" w:cs="Times New Roman"/>
          <w:sz w:val="24"/>
          <w:szCs w:val="24"/>
        </w:rPr>
        <w:t xml:space="preserve"> It is clear then, that a professionally drafted and informed nuptial agreement is likely to have (if not vitiated and if not </w:t>
      </w:r>
      <w:r w:rsidR="00E94E17" w:rsidRPr="00E94E17">
        <w:rPr>
          <w:rFonts w:ascii="Times New Roman" w:hAnsi="Times New Roman" w:cs="Times New Roman"/>
          <w:sz w:val="24"/>
          <w:szCs w:val="24"/>
        </w:rPr>
        <w:t xml:space="preserve">held to be </w:t>
      </w:r>
      <w:r w:rsidRPr="00E94E17">
        <w:rPr>
          <w:rFonts w:ascii="Times New Roman" w:hAnsi="Times New Roman" w:cs="Times New Roman"/>
          <w:sz w:val="24"/>
          <w:szCs w:val="24"/>
        </w:rPr>
        <w:t>“unfair”</w:t>
      </w:r>
      <w:r w:rsidR="00E94E17" w:rsidRPr="00E94E17">
        <w:rPr>
          <w:rFonts w:ascii="Times New Roman" w:hAnsi="Times New Roman" w:cs="Times New Roman"/>
          <w:sz w:val="24"/>
          <w:szCs w:val="24"/>
        </w:rPr>
        <w:t xml:space="preserve"> on the basis of the matters at paragraphs </w:t>
      </w:r>
      <w:r w:rsidR="00E94E17" w:rsidRPr="00E94E17">
        <w:rPr>
          <w:rFonts w:ascii="Times New Roman" w:hAnsi="Times New Roman" w:cs="Times New Roman"/>
          <w:b/>
          <w:bCs/>
          <w:sz w:val="24"/>
          <w:szCs w:val="24"/>
        </w:rPr>
        <w:t>[74 to 83]</w:t>
      </w:r>
      <w:r w:rsidR="00E94E17" w:rsidRPr="00E94E17">
        <w:rPr>
          <w:rFonts w:ascii="Times New Roman" w:hAnsi="Times New Roman" w:cs="Times New Roman"/>
          <w:sz w:val="24"/>
          <w:szCs w:val="24"/>
        </w:rPr>
        <w:t xml:space="preserve"> of Radmacher</w:t>
      </w:r>
      <w:r w:rsidRPr="00E94E17">
        <w:rPr>
          <w:rFonts w:ascii="Times New Roman" w:hAnsi="Times New Roman" w:cs="Times New Roman"/>
          <w:sz w:val="24"/>
          <w:szCs w:val="24"/>
        </w:rPr>
        <w:t>) a substantial reducing effect on the extent of any award</w:t>
      </w:r>
      <w:r w:rsidR="00E94E17" w:rsidRPr="00E94E17">
        <w:rPr>
          <w:rFonts w:ascii="Times New Roman" w:hAnsi="Times New Roman" w:cs="Times New Roman"/>
          <w:sz w:val="24"/>
          <w:szCs w:val="24"/>
        </w:rPr>
        <w:t xml:space="preserve"> to the other spouse</w:t>
      </w:r>
      <w:r w:rsidRPr="00E94E17">
        <w:rPr>
          <w:rFonts w:ascii="Times New Roman" w:hAnsi="Times New Roman" w:cs="Times New Roman"/>
          <w:sz w:val="24"/>
          <w:szCs w:val="24"/>
        </w:rPr>
        <w:t xml:space="preserve"> on a financial remedy application and can prove to be</w:t>
      </w:r>
      <w:r w:rsidR="00E94E17" w:rsidRPr="00E94E17">
        <w:rPr>
          <w:rFonts w:ascii="Times New Roman" w:hAnsi="Times New Roman" w:cs="Times New Roman"/>
          <w:sz w:val="24"/>
          <w:szCs w:val="24"/>
        </w:rPr>
        <w:t xml:space="preserve"> a</w:t>
      </w:r>
      <w:r w:rsidRPr="00E94E17">
        <w:rPr>
          <w:rFonts w:ascii="Times New Roman" w:hAnsi="Times New Roman" w:cs="Times New Roman"/>
          <w:sz w:val="24"/>
          <w:szCs w:val="24"/>
        </w:rPr>
        <w:t xml:space="preserve"> highly protective</w:t>
      </w:r>
      <w:r w:rsidR="00E94E17" w:rsidRPr="00E94E17">
        <w:rPr>
          <w:rFonts w:ascii="Times New Roman" w:hAnsi="Times New Roman" w:cs="Times New Roman"/>
          <w:sz w:val="24"/>
          <w:szCs w:val="24"/>
        </w:rPr>
        <w:t xml:space="preserve"> factor for</w:t>
      </w:r>
      <w:r w:rsidRPr="00E94E17">
        <w:rPr>
          <w:rFonts w:ascii="Times New Roman" w:hAnsi="Times New Roman" w:cs="Times New Roman"/>
          <w:sz w:val="24"/>
          <w:szCs w:val="24"/>
        </w:rPr>
        <w:t xml:space="preserve"> non-matrimonial property which has been inherited or generated by the other party. </w:t>
      </w:r>
      <w:r w:rsidR="00E94E17" w:rsidRPr="00E94E17">
        <w:rPr>
          <w:rFonts w:ascii="Times New Roman" w:hAnsi="Times New Roman" w:cs="Times New Roman"/>
          <w:sz w:val="24"/>
          <w:szCs w:val="24"/>
        </w:rPr>
        <w:t>This note has concerned itself mainly with “big money” cases, which are among the most reported. Clearly, in cases of more limited assets nuptial agreements may play a more limited role given that when the assets are smaller there is a greater likelihood of the court holding one or the parties to be in a “predicament of real need” (</w:t>
      </w:r>
      <w:r w:rsidR="00E94E17" w:rsidRPr="00E94E17">
        <w:rPr>
          <w:rFonts w:ascii="Times New Roman" w:hAnsi="Times New Roman" w:cs="Times New Roman"/>
          <w:i/>
          <w:iCs/>
          <w:sz w:val="24"/>
          <w:szCs w:val="24"/>
        </w:rPr>
        <w:t>Radmacher</w:t>
      </w:r>
      <w:r w:rsidR="00E94E17" w:rsidRPr="00E94E17">
        <w:rPr>
          <w:rFonts w:ascii="Times New Roman" w:hAnsi="Times New Roman" w:cs="Times New Roman"/>
          <w:sz w:val="24"/>
          <w:szCs w:val="24"/>
        </w:rPr>
        <w:t xml:space="preserve">) but it will turn on the facts of the case. </w:t>
      </w:r>
      <w:r w:rsidR="00E94E17">
        <w:rPr>
          <w:rFonts w:ascii="Times New Roman" w:hAnsi="Times New Roman" w:cs="Times New Roman"/>
          <w:sz w:val="24"/>
          <w:szCs w:val="24"/>
        </w:rPr>
        <w:t>Expert legal advice around the law and in drawing up such agreements remains crucial.</w:t>
      </w:r>
    </w:p>
    <w:p w14:paraId="13E755D5" w14:textId="00A1B7FE" w:rsidR="00E94E17" w:rsidRPr="00E94E17" w:rsidRDefault="00E94E17" w:rsidP="00E94E17">
      <w:pPr>
        <w:pStyle w:val="ListParagraph"/>
        <w:jc w:val="both"/>
        <w:rPr>
          <w:rFonts w:ascii="Times New Roman" w:hAnsi="Times New Roman" w:cs="Times New Roman"/>
          <w:i/>
          <w:iCs/>
          <w:sz w:val="24"/>
          <w:szCs w:val="24"/>
        </w:rPr>
      </w:pPr>
    </w:p>
    <w:p w14:paraId="5FAAD6B0" w14:textId="77777777" w:rsidR="00573F29" w:rsidRPr="00573F29" w:rsidRDefault="00573F29" w:rsidP="00B25FBC">
      <w:pPr>
        <w:pStyle w:val="ListParagraph"/>
        <w:jc w:val="both"/>
        <w:rPr>
          <w:rFonts w:ascii="Times New Roman" w:hAnsi="Times New Roman" w:cs="Times New Roman"/>
          <w:i/>
          <w:iCs/>
          <w:sz w:val="24"/>
          <w:szCs w:val="24"/>
        </w:rPr>
      </w:pPr>
    </w:p>
    <w:p w14:paraId="16A69B0D" w14:textId="3699E358" w:rsidR="00573F29" w:rsidRPr="00817274" w:rsidRDefault="00573F29" w:rsidP="00B25FBC">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sz w:val="24"/>
          <w:szCs w:val="24"/>
        </w:rPr>
        <w:t>Members of Harcourt Chambers</w:t>
      </w:r>
      <w:r w:rsidR="00E94E17">
        <w:rPr>
          <w:rFonts w:ascii="Times New Roman" w:hAnsi="Times New Roman" w:cs="Times New Roman"/>
          <w:sz w:val="24"/>
          <w:szCs w:val="24"/>
        </w:rPr>
        <w:t>’</w:t>
      </w:r>
      <w:r>
        <w:rPr>
          <w:rFonts w:ascii="Times New Roman" w:hAnsi="Times New Roman" w:cs="Times New Roman"/>
          <w:sz w:val="24"/>
          <w:szCs w:val="24"/>
        </w:rPr>
        <w:t xml:space="preserve"> Financial Remedy </w:t>
      </w:r>
      <w:r w:rsidR="00E94E17">
        <w:rPr>
          <w:rFonts w:ascii="Times New Roman" w:hAnsi="Times New Roman" w:cs="Times New Roman"/>
          <w:sz w:val="24"/>
          <w:szCs w:val="24"/>
        </w:rPr>
        <w:t>P</w:t>
      </w:r>
      <w:r>
        <w:rPr>
          <w:rFonts w:ascii="Times New Roman" w:hAnsi="Times New Roman" w:cs="Times New Roman"/>
          <w:sz w:val="24"/>
          <w:szCs w:val="24"/>
        </w:rPr>
        <w:t xml:space="preserve">ractice </w:t>
      </w:r>
      <w:r w:rsidR="00E94E17">
        <w:rPr>
          <w:rFonts w:ascii="Times New Roman" w:hAnsi="Times New Roman" w:cs="Times New Roman"/>
          <w:sz w:val="24"/>
          <w:szCs w:val="24"/>
        </w:rPr>
        <w:t>G</w:t>
      </w:r>
      <w:r>
        <w:rPr>
          <w:rFonts w:ascii="Times New Roman" w:hAnsi="Times New Roman" w:cs="Times New Roman"/>
          <w:sz w:val="24"/>
          <w:szCs w:val="24"/>
        </w:rPr>
        <w:t>roup are available at all times to give such advice and the clerks will be pleased to assist in recommending specialist counsel</w:t>
      </w:r>
      <w:r w:rsidR="00E94E17">
        <w:rPr>
          <w:rFonts w:ascii="Times New Roman" w:hAnsi="Times New Roman" w:cs="Times New Roman"/>
          <w:sz w:val="24"/>
          <w:szCs w:val="24"/>
        </w:rPr>
        <w:t xml:space="preserve"> for the same.</w:t>
      </w:r>
    </w:p>
    <w:sectPr w:rsidR="00573F29" w:rsidRPr="008172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EC82" w14:textId="77777777" w:rsidR="00DD043D" w:rsidRDefault="00DD043D" w:rsidP="00DA5B36">
      <w:pPr>
        <w:spacing w:after="0" w:line="240" w:lineRule="auto"/>
      </w:pPr>
      <w:r>
        <w:separator/>
      </w:r>
    </w:p>
  </w:endnote>
  <w:endnote w:type="continuationSeparator" w:id="0">
    <w:p w14:paraId="1F68A3AE" w14:textId="77777777" w:rsidR="00DD043D" w:rsidRDefault="00DD043D" w:rsidP="00DA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92802" w14:textId="77777777" w:rsidR="00DD043D" w:rsidRDefault="00DD043D" w:rsidP="00DA5B36">
      <w:pPr>
        <w:spacing w:after="0" w:line="240" w:lineRule="auto"/>
      </w:pPr>
      <w:r>
        <w:separator/>
      </w:r>
    </w:p>
  </w:footnote>
  <w:footnote w:type="continuationSeparator" w:id="0">
    <w:p w14:paraId="3932197B" w14:textId="77777777" w:rsidR="00DD043D" w:rsidRDefault="00DD043D" w:rsidP="00DA5B36">
      <w:pPr>
        <w:spacing w:after="0" w:line="240" w:lineRule="auto"/>
      </w:pPr>
      <w:r>
        <w:continuationSeparator/>
      </w:r>
    </w:p>
  </w:footnote>
  <w:footnote w:id="1">
    <w:p w14:paraId="25D0EBE7" w14:textId="77777777" w:rsidR="008A77A0" w:rsidRDefault="008A77A0" w:rsidP="008A77A0">
      <w:pPr>
        <w:pStyle w:val="FootnoteText"/>
      </w:pPr>
      <w:r>
        <w:rPr>
          <w:rStyle w:val="FootnoteReference"/>
        </w:rPr>
        <w:footnoteRef/>
      </w:r>
      <w:r>
        <w:t xml:space="preserve"> This note is correct as to the law as of 14</w:t>
      </w:r>
      <w:r w:rsidRPr="00DA5B36">
        <w:rPr>
          <w:vertAlign w:val="superscript"/>
        </w:rPr>
        <w:t>th</w:t>
      </w:r>
      <w:r>
        <w:t xml:space="preserve"> August 2024. It does not constitute, and is no substitute for, legal advice on the individual facts of a particular case.</w:t>
      </w:r>
    </w:p>
    <w:p w14:paraId="5AF6BC02" w14:textId="77777777" w:rsidR="008A77A0" w:rsidRDefault="008A77A0" w:rsidP="008A77A0">
      <w:pPr>
        <w:pStyle w:val="FootnoteText"/>
      </w:pPr>
    </w:p>
  </w:footnote>
  <w:footnote w:id="2">
    <w:p w14:paraId="005F5B65" w14:textId="6726FE27" w:rsidR="00573F29" w:rsidRDefault="00573F29">
      <w:pPr>
        <w:pStyle w:val="FootnoteText"/>
      </w:pPr>
      <w:r>
        <w:rPr>
          <w:rStyle w:val="FootnoteReference"/>
        </w:rPr>
        <w:footnoteRef/>
      </w:r>
      <w:r>
        <w:t xml:space="preserve"> I.e. prenuptial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40854"/>
    <w:multiLevelType w:val="hybridMultilevel"/>
    <w:tmpl w:val="484E5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A20B63"/>
    <w:multiLevelType w:val="hybridMultilevel"/>
    <w:tmpl w:val="C5A26326"/>
    <w:lvl w:ilvl="0" w:tplc="52063F3A">
      <w:start w:val="1"/>
      <w:numFmt w:val="decimal"/>
      <w:lvlText w:val="%1."/>
      <w:lvlJc w:val="left"/>
      <w:pPr>
        <w:ind w:left="720" w:hanging="360"/>
      </w:pPr>
      <w:rPr>
        <w:i w:val="0"/>
        <w:iCs w:val="0"/>
      </w:rPr>
    </w:lvl>
    <w:lvl w:ilvl="1" w:tplc="4844AE5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301325">
    <w:abstractNumId w:val="1"/>
  </w:num>
  <w:num w:numId="2" w16cid:durableId="4214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6"/>
    <w:rsid w:val="00000D75"/>
    <w:rsid w:val="001034A4"/>
    <w:rsid w:val="00113A83"/>
    <w:rsid w:val="001B2F38"/>
    <w:rsid w:val="00573F29"/>
    <w:rsid w:val="00585434"/>
    <w:rsid w:val="00791131"/>
    <w:rsid w:val="00817274"/>
    <w:rsid w:val="008A77A0"/>
    <w:rsid w:val="009E5437"/>
    <w:rsid w:val="00A16CC9"/>
    <w:rsid w:val="00B25FBC"/>
    <w:rsid w:val="00D1122E"/>
    <w:rsid w:val="00DA5B36"/>
    <w:rsid w:val="00DD043D"/>
    <w:rsid w:val="00E94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4A9D"/>
  <w15:chartTrackingRefBased/>
  <w15:docId w15:val="{20A59781-9EB9-4B1C-AB07-6DF08F50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B36"/>
    <w:rPr>
      <w:rFonts w:eastAsiaTheme="majorEastAsia" w:cstheme="majorBidi"/>
      <w:color w:val="272727" w:themeColor="text1" w:themeTint="D8"/>
    </w:rPr>
  </w:style>
  <w:style w:type="paragraph" w:styleId="Title">
    <w:name w:val="Title"/>
    <w:basedOn w:val="Normal"/>
    <w:next w:val="Normal"/>
    <w:link w:val="TitleChar"/>
    <w:uiPriority w:val="10"/>
    <w:qFormat/>
    <w:rsid w:val="00DA5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B36"/>
    <w:pPr>
      <w:spacing w:before="160"/>
      <w:jc w:val="center"/>
    </w:pPr>
    <w:rPr>
      <w:i/>
      <w:iCs/>
      <w:color w:val="404040" w:themeColor="text1" w:themeTint="BF"/>
    </w:rPr>
  </w:style>
  <w:style w:type="character" w:customStyle="1" w:styleId="QuoteChar">
    <w:name w:val="Quote Char"/>
    <w:basedOn w:val="DefaultParagraphFont"/>
    <w:link w:val="Quote"/>
    <w:uiPriority w:val="29"/>
    <w:rsid w:val="00DA5B36"/>
    <w:rPr>
      <w:i/>
      <w:iCs/>
      <w:color w:val="404040" w:themeColor="text1" w:themeTint="BF"/>
    </w:rPr>
  </w:style>
  <w:style w:type="paragraph" w:styleId="ListParagraph">
    <w:name w:val="List Paragraph"/>
    <w:basedOn w:val="Normal"/>
    <w:uiPriority w:val="34"/>
    <w:qFormat/>
    <w:rsid w:val="00DA5B36"/>
    <w:pPr>
      <w:ind w:left="720"/>
      <w:contextualSpacing/>
    </w:pPr>
  </w:style>
  <w:style w:type="character" w:styleId="IntenseEmphasis">
    <w:name w:val="Intense Emphasis"/>
    <w:basedOn w:val="DefaultParagraphFont"/>
    <w:uiPriority w:val="21"/>
    <w:qFormat/>
    <w:rsid w:val="00DA5B36"/>
    <w:rPr>
      <w:i/>
      <w:iCs/>
      <w:color w:val="0F4761" w:themeColor="accent1" w:themeShade="BF"/>
    </w:rPr>
  </w:style>
  <w:style w:type="paragraph" w:styleId="IntenseQuote">
    <w:name w:val="Intense Quote"/>
    <w:basedOn w:val="Normal"/>
    <w:next w:val="Normal"/>
    <w:link w:val="IntenseQuoteChar"/>
    <w:uiPriority w:val="30"/>
    <w:qFormat/>
    <w:rsid w:val="00DA5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B36"/>
    <w:rPr>
      <w:i/>
      <w:iCs/>
      <w:color w:val="0F4761" w:themeColor="accent1" w:themeShade="BF"/>
    </w:rPr>
  </w:style>
  <w:style w:type="character" w:styleId="IntenseReference">
    <w:name w:val="Intense Reference"/>
    <w:basedOn w:val="DefaultParagraphFont"/>
    <w:uiPriority w:val="32"/>
    <w:qFormat/>
    <w:rsid w:val="00DA5B36"/>
    <w:rPr>
      <w:b/>
      <w:bCs/>
      <w:smallCaps/>
      <w:color w:val="0F4761" w:themeColor="accent1" w:themeShade="BF"/>
      <w:spacing w:val="5"/>
    </w:rPr>
  </w:style>
  <w:style w:type="paragraph" w:styleId="FootnoteText">
    <w:name w:val="footnote text"/>
    <w:basedOn w:val="Normal"/>
    <w:link w:val="FootnoteTextChar"/>
    <w:uiPriority w:val="99"/>
    <w:semiHidden/>
    <w:unhideWhenUsed/>
    <w:rsid w:val="00DA5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B36"/>
    <w:rPr>
      <w:sz w:val="20"/>
      <w:szCs w:val="20"/>
    </w:rPr>
  </w:style>
  <w:style w:type="character" w:styleId="FootnoteReference">
    <w:name w:val="footnote reference"/>
    <w:basedOn w:val="DefaultParagraphFont"/>
    <w:uiPriority w:val="99"/>
    <w:semiHidden/>
    <w:unhideWhenUsed/>
    <w:rsid w:val="00DA5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B58C-5B88-4DA1-83FC-DE931B24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Marusza</dc:creator>
  <cp:keywords/>
  <dc:description/>
  <cp:lastModifiedBy>Louise Kiely</cp:lastModifiedBy>
  <cp:revision>2</cp:revision>
  <dcterms:created xsi:type="dcterms:W3CDTF">2024-09-16T08:52:00Z</dcterms:created>
  <dcterms:modified xsi:type="dcterms:W3CDTF">2024-09-16T08:52:00Z</dcterms:modified>
</cp:coreProperties>
</file>